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132080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200660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109220</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80"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208"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 </w:t>
      </w:r>
    </w:p>
    <w:p>
      <w:pPr>
        <w:jc w:val="center"/>
        <w:ind w:right="-340"/>
        <w:spacing w:after="0"/>
        <w:rPr>
          <w:sz w:val="20"/>
          <w:szCs w:val="20"/>
          <w:color w:val="auto"/>
        </w:rPr>
      </w:pPr>
      <w:r>
        <w:rPr>
          <w:rFonts w:ascii="Arial" w:cs="Arial" w:eastAsia="Arial" w:hAnsi="Arial"/>
          <w:sz w:val="18"/>
          <w:szCs w:val="18"/>
          <w:b w:val="1"/>
          <w:bCs w:val="1"/>
          <w:color w:val="auto"/>
        </w:rPr>
        <w:t>SCHEDULE 14A INFORMATION</w:t>
      </w:r>
    </w:p>
    <w:p>
      <w:pPr>
        <w:spacing w:after="0" w:line="18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19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128905</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82" w:lineRule="exact"/>
        <w:rPr>
          <w:sz w:val="24"/>
          <w:szCs w:val="24"/>
          <w:color w:val="auto"/>
        </w:rPr>
      </w:pPr>
    </w:p>
    <w:p>
      <w:pPr>
        <w:spacing w:after="0" w:line="184" w:lineRule="exact"/>
        <w:tabs>
          <w:tab w:leader="none" w:pos="23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8" w:lineRule="exact"/>
        <w:rPr>
          <w:sz w:val="24"/>
          <w:szCs w:val="24"/>
          <w:color w:val="auto"/>
        </w:rPr>
      </w:pPr>
    </w:p>
    <w:p>
      <w:pPr>
        <w:ind w:left="540" w:hanging="536"/>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52" w:lineRule="exact"/>
        <w:rPr>
          <w:rFonts w:ascii="MS PGothic" w:cs="MS PGothic" w:eastAsia="MS PGothic" w:hAnsi="MS PGothic"/>
          <w:sz w:val="16"/>
          <w:szCs w:val="16"/>
          <w:color w:val="auto"/>
        </w:rPr>
      </w:pPr>
    </w:p>
    <w:p>
      <w:pPr>
        <w:ind w:left="540" w:hanging="536"/>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5"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Definitive Revised Proxy Statement</w:t>
      </w:r>
    </w:p>
    <w:p>
      <w:pPr>
        <w:spacing w:after="0" w:line="45" w:lineRule="exact"/>
        <w:rPr>
          <w:rFonts w:ascii="MS PGothic" w:cs="MS PGothic" w:eastAsia="MS PGothic" w:hAnsi="MS PGothic"/>
          <w:sz w:val="16"/>
          <w:szCs w:val="16"/>
          <w:color w:val="auto"/>
        </w:rPr>
      </w:pPr>
    </w:p>
    <w:p>
      <w:pPr>
        <w:ind w:left="540" w:hanging="536"/>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45" w:lineRule="exact"/>
        <w:rPr>
          <w:rFonts w:ascii="MS PGothic" w:cs="MS PGothic" w:eastAsia="MS PGothic" w:hAnsi="MS PGothic"/>
          <w:sz w:val="16"/>
          <w:szCs w:val="16"/>
          <w:color w:val="auto"/>
        </w:rPr>
      </w:pPr>
    </w:p>
    <w:p>
      <w:pPr>
        <w:ind w:left="540" w:hanging="536"/>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187960</wp:posOffset>
            </wp:positionV>
            <wp:extent cx="179133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3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8"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HARMONIC INC.</w:t>
      </w:r>
    </w:p>
    <w:p>
      <w:pPr>
        <w:spacing w:after="0" w:line="131"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31" w:lineRule="exact"/>
        <w:rPr>
          <w:sz w:val="24"/>
          <w:szCs w:val="24"/>
          <w:color w:val="auto"/>
        </w:rPr>
      </w:pPr>
    </w:p>
    <w:p>
      <w:pPr>
        <w:jc w:val="right"/>
        <w:ind w:right="14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8" w:lineRule="exact"/>
        <w:rPr>
          <w:sz w:val="24"/>
          <w:szCs w:val="24"/>
          <w:color w:val="auto"/>
        </w:rPr>
      </w:pPr>
    </w:p>
    <w:p>
      <w:pPr>
        <w:ind w:left="540" w:hanging="536"/>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53" w:lineRule="exact"/>
        <w:rPr>
          <w:sz w:val="24"/>
          <w:szCs w:val="24"/>
          <w:color w:val="auto"/>
        </w:rPr>
      </w:pPr>
    </w:p>
    <w:p>
      <w:pPr>
        <w:ind w:left="540" w:hanging="536"/>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540" w:hanging="536"/>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367665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144780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205105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520" w:right="1440" w:bottom="1440" w:gutter="0" w:footer="0" w:header="0"/>
        </w:sectPr>
      </w:pPr>
    </w:p>
    <w:bookmarkStart w:id="1" w:name="page2"/>
    <w:bookmarkEnd w:id="1"/>
    <w:p>
      <w:pPr>
        <w:ind w:left="4"/>
        <w:spacing w:after="0"/>
        <w:rPr>
          <w:sz w:val="20"/>
          <w:szCs w:val="20"/>
          <w:color w:val="auto"/>
        </w:rPr>
      </w:pPr>
      <w:r>
        <w:rPr>
          <w:rFonts w:ascii="Arial" w:cs="Arial" w:eastAsia="Arial" w:hAnsi="Arial"/>
          <w:sz w:val="32"/>
          <w:szCs w:val="32"/>
          <w:b w:val="1"/>
          <w:bCs w:val="1"/>
          <w:color w:val="00284D"/>
        </w:rPr>
        <w:t>Harmonic Inc.</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color w:val="00284D"/>
        </w:rPr>
        <w:t>2590 Orchard Parkway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00284D"/>
        </w:rPr>
        <w:t>San Jose, CA 95131</w:t>
      </w:r>
    </w:p>
    <w:p>
      <w:pPr>
        <w:ind w:left="4"/>
        <w:spacing w:after="0"/>
        <w:rPr>
          <w:sz w:val="20"/>
          <w:szCs w:val="20"/>
          <w:color w:val="auto"/>
        </w:rPr>
      </w:pPr>
      <w:r>
        <w:rPr>
          <w:rFonts w:ascii="Arial" w:cs="Arial" w:eastAsia="Arial" w:hAnsi="Arial"/>
          <w:sz w:val="18"/>
          <w:szCs w:val="18"/>
          <w:color w:val="00284D"/>
        </w:rPr>
        <w:t>(408) 542-2500</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9"/>
          <w:szCs w:val="29"/>
          <w:color w:val="588FCB"/>
        </w:rPr>
        <w:t>AMENDMENT TO PROXY STATEMENT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29"/>
          <w:szCs w:val="29"/>
          <w:color w:val="588FCB"/>
        </w:rPr>
        <w:t>For 2026 Annual Meeting of Stockholders</w:t>
      </w:r>
    </w:p>
    <w:p>
      <w:pPr>
        <w:spacing w:after="0" w:line="93"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00284D"/>
        </w:rPr>
        <w:t>To Be Held at 9:00 A.M. Pacific Time on Thursday, June 4, 2026</w:t>
      </w:r>
    </w:p>
    <w:p>
      <w:pPr>
        <w:spacing w:after="0" w:line="144" w:lineRule="exact"/>
        <w:rPr>
          <w:sz w:val="20"/>
          <w:szCs w:val="20"/>
          <w:color w:val="auto"/>
        </w:rPr>
      </w:pPr>
    </w:p>
    <w:p>
      <w:pPr>
        <w:ind w:left="4" w:right="160"/>
        <w:spacing w:after="0" w:line="253" w:lineRule="auto"/>
        <w:rPr>
          <w:sz w:val="20"/>
          <w:szCs w:val="20"/>
          <w:color w:val="auto"/>
        </w:rPr>
      </w:pPr>
      <w:r>
        <w:rPr>
          <w:rFonts w:ascii="Arial" w:cs="Arial" w:eastAsia="Arial" w:hAnsi="Arial"/>
          <w:sz w:val="16"/>
          <w:szCs w:val="16"/>
          <w:color w:val="auto"/>
        </w:rPr>
        <w:t xml:space="preserve">This amendment no. 1 dated May 15, 2026 (this “Amendment”), amends and supplements the definitive proxy statement dated April 24, 2026 (the “Proxy Statement”). This Proxy Statement relates to the solicitation of proxies by the board of directors (the “Board”) of Harmonic Inc. (the “Company”) for use at the Company’s 2026 Annual Meeting of Stockholders to be held on Thursday, June 4, 2026, at 9:00 a.m. Pacific Time (the “Annual Meeting”). The Annual Meeting will be a virtual meeting held over the Internet. You will be able to attend the Annual Meeting, vote your shares electronically and submit your questions during the live webcast of the meeting by visiting </w:t>
      </w:r>
      <w:r>
        <w:rPr>
          <w:rFonts w:ascii="Arial" w:cs="Arial" w:eastAsia="Arial" w:hAnsi="Arial"/>
          <w:sz w:val="16"/>
          <w:szCs w:val="16"/>
          <w:b w:val="1"/>
          <w:bCs w:val="1"/>
          <w:color w:val="00284D"/>
        </w:rPr>
        <w:t>www.virtualshareholdermeeting.com/HLIT2026</w:t>
      </w:r>
      <w:r>
        <w:rPr>
          <w:rFonts w:ascii="Arial" w:cs="Arial" w:eastAsia="Arial" w:hAnsi="Arial"/>
          <w:sz w:val="16"/>
          <w:szCs w:val="16"/>
          <w:color w:val="auto"/>
        </w:rPr>
        <w:t xml:space="preserve"> and entering your 16-digit control number located on your proxy card.</w:t>
      </w:r>
    </w:p>
    <w:p>
      <w:pPr>
        <w:spacing w:after="0" w:line="141" w:lineRule="exact"/>
        <w:rPr>
          <w:sz w:val="20"/>
          <w:szCs w:val="20"/>
          <w:color w:val="auto"/>
        </w:rPr>
      </w:pPr>
    </w:p>
    <w:p>
      <w:pPr>
        <w:ind w:left="4" w:right="260"/>
        <w:spacing w:after="0" w:line="263" w:lineRule="auto"/>
        <w:rPr>
          <w:sz w:val="20"/>
          <w:szCs w:val="20"/>
          <w:color w:val="auto"/>
        </w:rPr>
      </w:pPr>
      <w:r>
        <w:rPr>
          <w:rFonts w:ascii="Arial" w:cs="Arial" w:eastAsia="Arial" w:hAnsi="Arial"/>
          <w:sz w:val="16"/>
          <w:szCs w:val="16"/>
          <w:color w:val="auto"/>
        </w:rPr>
        <w:t xml:space="preserve">Except as described in this Amendment, the information provided in the Proxy Statement continues to apply. If information in this Amendment differs from or updates information contained in the Proxy Statement, then the information in this Amendment is more current and supersedes the different information contained in the Proxy Statement. </w:t>
      </w:r>
      <w:r>
        <w:rPr>
          <w:rFonts w:ascii="Arial" w:cs="Arial" w:eastAsia="Arial" w:hAnsi="Arial"/>
          <w:sz w:val="16"/>
          <w:szCs w:val="16"/>
          <w:b w:val="1"/>
          <w:bCs w:val="1"/>
          <w:color w:val="00284D"/>
        </w:rPr>
        <w:t>THIS AMENDMENT SHOULD BE READ IN</w:t>
      </w:r>
      <w:r>
        <w:rPr>
          <w:rFonts w:ascii="Arial" w:cs="Arial" w:eastAsia="Arial" w:hAnsi="Arial"/>
          <w:sz w:val="16"/>
          <w:szCs w:val="16"/>
          <w:color w:val="auto"/>
        </w:rPr>
        <w:t xml:space="preserve"> </w:t>
      </w:r>
      <w:r>
        <w:rPr>
          <w:rFonts w:ascii="Arial" w:cs="Arial" w:eastAsia="Arial" w:hAnsi="Arial"/>
          <w:sz w:val="16"/>
          <w:szCs w:val="16"/>
          <w:b w:val="1"/>
          <w:bCs w:val="1"/>
          <w:color w:val="00284D"/>
        </w:rPr>
        <w:t>CONJUNCTION WITH THE PROXY STATEMENT</w:t>
      </w:r>
      <w:r>
        <w:rPr>
          <w:rFonts w:ascii="Arial" w:cs="Arial" w:eastAsia="Arial" w:hAnsi="Arial"/>
          <w:sz w:val="16"/>
          <w:szCs w:val="16"/>
          <w:color w:val="000000"/>
        </w:rPr>
        <w:t>.</w:t>
      </w:r>
    </w:p>
    <w:p>
      <w:pPr>
        <w:spacing w:after="0" w:line="139" w:lineRule="exact"/>
        <w:rPr>
          <w:sz w:val="20"/>
          <w:szCs w:val="20"/>
          <w:color w:val="auto"/>
        </w:rPr>
      </w:pPr>
    </w:p>
    <w:p>
      <w:pPr>
        <w:ind w:left="4" w:right="280"/>
        <w:spacing w:after="0" w:line="266" w:lineRule="auto"/>
        <w:rPr>
          <w:sz w:val="20"/>
          <w:szCs w:val="20"/>
          <w:color w:val="auto"/>
        </w:rPr>
      </w:pPr>
      <w:r>
        <w:rPr>
          <w:rFonts w:ascii="Arial" w:cs="Arial" w:eastAsia="Arial" w:hAnsi="Arial"/>
          <w:sz w:val="16"/>
          <w:szCs w:val="16"/>
          <w:color w:val="auto"/>
        </w:rPr>
        <w:t>This Amendment is being filed with the U.S. Securities and Exchange Commission (the “SEC”) to make certain updates and clarifications with respect to Proposal 4 in connection with the proposed amendment of the Company’s 2025 Equity Incentive Plan (the “2025 Plan”), including to:</w:t>
      </w:r>
    </w:p>
    <w:p>
      <w:pPr>
        <w:spacing w:after="0" w:line="131" w:lineRule="exact"/>
        <w:rPr>
          <w:sz w:val="20"/>
          <w:szCs w:val="20"/>
          <w:color w:val="auto"/>
        </w:rPr>
      </w:pPr>
    </w:p>
    <w:p>
      <w:pPr>
        <w:ind w:left="344" w:right="460" w:hanging="344"/>
        <w:spacing w:after="0" w:line="286"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Reduce the number of shares proposed to be added to the 2025 Plan from 7,000,000 to 3,000,000 shares and amend and replace the proxy card to reflect this change;</w:t>
      </w:r>
    </w:p>
    <w:p>
      <w:pPr>
        <w:spacing w:after="0" w:line="115" w:lineRule="exact"/>
        <w:rPr>
          <w:rFonts w:ascii="Arial" w:cs="Arial" w:eastAsia="Arial" w:hAnsi="Arial"/>
          <w:sz w:val="16"/>
          <w:szCs w:val="16"/>
          <w:color w:val="auto"/>
        </w:rPr>
      </w:pPr>
    </w:p>
    <w:p>
      <w:pPr>
        <w:ind w:left="344" w:right="160" w:hanging="344"/>
        <w:spacing w:after="0" w:line="286"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Correct a scrivener’s error in the Proxy Statement and confirm that the outstanding and unvested restricted stock units granted subject to performance-based vesting, under all active and inactive equity plans at target performance, is 1,235,021;</w:t>
      </w:r>
    </w:p>
    <w:p>
      <w:pPr>
        <w:spacing w:after="0" w:line="128" w:lineRule="exact"/>
        <w:rPr>
          <w:rFonts w:ascii="Arial" w:cs="Arial" w:eastAsia="Arial" w:hAnsi="Arial"/>
          <w:sz w:val="16"/>
          <w:szCs w:val="16"/>
          <w:color w:val="auto"/>
        </w:rPr>
      </w:pPr>
    </w:p>
    <w:p>
      <w:pPr>
        <w:ind w:left="344" w:right="20" w:hanging="344"/>
        <w:spacing w:after="0" w:line="286"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Clarify the intent of the Board that shares that are used to pay the exercise price or satisfy tax liabilities or withholdings related to an award under the 2025 Plan do not become available for future grant under the 2025 Plan; and</w:t>
      </w:r>
    </w:p>
    <w:p>
      <w:pPr>
        <w:spacing w:after="0" w:line="115" w:lineRule="exact"/>
        <w:rPr>
          <w:rFonts w:ascii="Arial" w:cs="Arial" w:eastAsia="Arial" w:hAnsi="Arial"/>
          <w:sz w:val="16"/>
          <w:szCs w:val="16"/>
          <w:color w:val="auto"/>
        </w:rPr>
      </w:pPr>
    </w:p>
    <w:p>
      <w:pPr>
        <w:ind w:left="344" w:hanging="344"/>
        <w:spacing w:after="0"/>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Amend and restate the 2025 Plan to reflect the corresponding changes as set forth in Appendix A.</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6"/>
          <w:szCs w:val="26"/>
          <w:color w:val="00284D"/>
        </w:rPr>
        <w:t>Amended Proxy Statement Disclosure</w:t>
      </w:r>
    </w:p>
    <w:p>
      <w:pPr>
        <w:spacing w:after="0" w:line="59" w:lineRule="exact"/>
        <w:rPr>
          <w:sz w:val="20"/>
          <w:szCs w:val="20"/>
          <w:color w:val="auto"/>
        </w:rPr>
      </w:pPr>
    </w:p>
    <w:p>
      <w:pPr>
        <w:ind w:left="4" w:right="660"/>
        <w:spacing w:after="0" w:line="283" w:lineRule="auto"/>
        <w:rPr>
          <w:sz w:val="20"/>
          <w:szCs w:val="20"/>
          <w:color w:val="auto"/>
        </w:rPr>
      </w:pPr>
      <w:r>
        <w:rPr>
          <w:rFonts w:ascii="Arial" w:cs="Arial" w:eastAsia="Arial" w:hAnsi="Arial"/>
          <w:sz w:val="16"/>
          <w:szCs w:val="16"/>
          <w:i w:val="1"/>
          <w:iCs w:val="1"/>
          <w:color w:val="auto"/>
        </w:rPr>
        <w:t>Proposal 4 – Approval of Amendment to 2025 Equity Incentive Plan shall be amended and restated as follows (including any references to the 7,000,000 share increase in the Proxy Statement):</w:t>
      </w:r>
    </w:p>
    <w:p>
      <w:pPr>
        <w:spacing w:after="0" w:line="118" w:lineRule="exact"/>
        <w:rPr>
          <w:sz w:val="20"/>
          <w:szCs w:val="20"/>
          <w:color w:val="auto"/>
        </w:rPr>
      </w:pPr>
    </w:p>
    <w:p>
      <w:pPr>
        <w:ind w:left="4" w:right="640"/>
        <w:spacing w:after="0" w:line="296" w:lineRule="auto"/>
        <w:rPr>
          <w:sz w:val="20"/>
          <w:szCs w:val="20"/>
          <w:color w:val="auto"/>
        </w:rPr>
      </w:pPr>
      <w:r>
        <w:rPr>
          <w:rFonts w:ascii="Arial" w:cs="Arial" w:eastAsia="Arial" w:hAnsi="Arial"/>
          <w:sz w:val="16"/>
          <w:szCs w:val="16"/>
          <w:color w:val="auto"/>
        </w:rPr>
        <w:t xml:space="preserve">To approve an amendment to the 2025 Equity Incentive Plan to increase the number of shares of common stock reserved for issuance thereunder by </w:t>
      </w:r>
      <w:r>
        <w:rPr>
          <w:rFonts w:ascii="Arial" w:cs="Arial" w:eastAsia="Arial" w:hAnsi="Arial"/>
          <w:sz w:val="16"/>
          <w:szCs w:val="16"/>
          <w:b w:val="1"/>
          <w:bCs w:val="1"/>
          <w:u w:val="single" w:color="auto"/>
          <w:color w:val="00284D"/>
        </w:rPr>
        <w:t>3,000,000</w:t>
      </w:r>
      <w:r>
        <w:rPr>
          <w:rFonts w:ascii="Arial" w:cs="Arial" w:eastAsia="Arial" w:hAnsi="Arial"/>
          <w:sz w:val="16"/>
          <w:szCs w:val="16"/>
          <w:color w:val="auto"/>
        </w:rPr>
        <w:t xml:space="preserve"> </w:t>
      </w:r>
      <w:r>
        <w:rPr>
          <w:rFonts w:ascii="Arial" w:cs="Arial" w:eastAsia="Arial" w:hAnsi="Arial"/>
          <w:sz w:val="16"/>
          <w:szCs w:val="16"/>
          <w:b w:val="1"/>
          <w:bCs w:val="1"/>
          <w:color w:val="00284D"/>
          <w:strike w:val="1"/>
        </w:rPr>
        <w:t>7,000,000</w:t>
      </w:r>
      <w:r>
        <w:rPr>
          <w:rFonts w:ascii="Arial" w:cs="Arial" w:eastAsia="Arial" w:hAnsi="Arial"/>
          <w:sz w:val="16"/>
          <w:szCs w:val="16"/>
          <w:color w:val="auto"/>
        </w:rPr>
        <w:t xml:space="preserve"> shares.</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The following disclosure amends and restates the fifth paragraph under the heading “Proposal 4 – Approval of Amendment to 2025</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Equity Incentive Plan” on page 25 of the Proxy Statement:</w:t>
      </w:r>
    </w:p>
    <w:p>
      <w:pPr>
        <w:spacing w:after="0" w:line="178"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auto"/>
        </w:rPr>
        <w:t xml:space="preserve">As of April 1, 2026, a total of 4,579,094 Shares remained available for issuance under the 2025 Plan. In April 2026, our Board of Directors approved amending the 2025 Plan, subject to stockholder approval at the Annual Meeting. The proposed Amendment would increase the number of shares reserved for issuance under the 2025 Plan by </w:t>
      </w:r>
      <w:r>
        <w:rPr>
          <w:rFonts w:ascii="Arial" w:cs="Arial" w:eastAsia="Arial" w:hAnsi="Arial"/>
          <w:sz w:val="16"/>
          <w:szCs w:val="16"/>
          <w:b w:val="1"/>
          <w:bCs w:val="1"/>
          <w:u w:val="single" w:color="auto"/>
          <w:color w:val="00284D"/>
        </w:rPr>
        <w:t>3,000,000</w:t>
      </w:r>
      <w:r>
        <w:rPr>
          <w:rFonts w:ascii="Arial" w:cs="Arial" w:eastAsia="Arial" w:hAnsi="Arial"/>
          <w:sz w:val="16"/>
          <w:szCs w:val="16"/>
          <w:color w:val="auto"/>
        </w:rPr>
        <w:t xml:space="preserve"> </w:t>
      </w:r>
      <w:r>
        <w:rPr>
          <w:rFonts w:ascii="Arial" w:cs="Arial" w:eastAsia="Arial" w:hAnsi="Arial"/>
          <w:sz w:val="16"/>
          <w:szCs w:val="16"/>
          <w:b w:val="1"/>
          <w:bCs w:val="1"/>
          <w:color w:val="00284D"/>
          <w:strike w:val="1"/>
        </w:rPr>
        <w:t>7,000,000</w:t>
      </w:r>
      <w:r>
        <w:rPr>
          <w:rFonts w:ascii="Arial" w:cs="Arial" w:eastAsia="Arial" w:hAnsi="Arial"/>
          <w:sz w:val="16"/>
          <w:szCs w:val="16"/>
          <w:color w:val="auto"/>
        </w:rPr>
        <w:t xml:space="preserve"> shares and based on the data available as of April 1, 2026, the additional shares would increase the maximum total number of shares available for grant under the 2025 Plan to </w:t>
      </w:r>
      <w:r>
        <w:rPr>
          <w:rFonts w:ascii="Arial" w:cs="Arial" w:eastAsia="Arial" w:hAnsi="Arial"/>
          <w:sz w:val="16"/>
          <w:szCs w:val="16"/>
          <w:b w:val="1"/>
          <w:bCs w:val="1"/>
          <w:u w:val="single" w:color="auto"/>
          <w:color w:val="00284D"/>
        </w:rPr>
        <w:t>7,579,094</w:t>
      </w:r>
      <w:r>
        <w:rPr>
          <w:rFonts w:ascii="Arial" w:cs="Arial" w:eastAsia="Arial" w:hAnsi="Arial"/>
          <w:sz w:val="16"/>
          <w:szCs w:val="16"/>
          <w:color w:val="auto"/>
        </w:rPr>
        <w:t xml:space="preserve"> </w:t>
      </w:r>
      <w:r>
        <w:rPr>
          <w:rFonts w:ascii="Arial" w:cs="Arial" w:eastAsia="Arial" w:hAnsi="Arial"/>
          <w:sz w:val="16"/>
          <w:szCs w:val="16"/>
          <w:b w:val="1"/>
          <w:bCs w:val="1"/>
          <w:color w:val="00284D"/>
          <w:strike w:val="1"/>
        </w:rPr>
        <w:t>11,579,094</w:t>
      </w:r>
      <w:r>
        <w:rPr>
          <w:rFonts w:ascii="Arial" w:cs="Arial" w:eastAsia="Arial" w:hAnsi="Arial"/>
          <w:sz w:val="16"/>
          <w:szCs w:val="16"/>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The following disclosure amends and restates the first paragraph on page 25 of the Proxy Statement:</w:t>
      </w:r>
    </w:p>
    <w:p>
      <w:pPr>
        <w:spacing w:after="0" w:line="179"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We anticipate that the Shares reserved under the 2025 Plan, based on currently projected share use, will be sufficient for the granting of equity awards under the 2025 Plan for approximately two (2) years. However, future circumstances and business needs, such as higher than expected headcount increases, competitive pressures for attracting and retaining employees and stock price volatility, may result in a significant increase in projected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190500</wp:posOffset>
            </wp:positionV>
            <wp:extent cx="62611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110" cy="197485"/>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200660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325" w:right="1179" w:bottom="1440" w:gutter="0" w:footer="0" w:header="0"/>
        </w:sectPr>
      </w:pPr>
    </w:p>
    <w:bookmarkStart w:id="2" w:name="page3"/>
    <w:bookmarkEnd w:id="2"/>
    <w:p>
      <w:pPr>
        <w:ind w:left="4" w:right="40"/>
        <w:spacing w:after="0" w:line="283" w:lineRule="auto"/>
        <w:rPr>
          <w:sz w:val="20"/>
          <w:szCs w:val="20"/>
          <w:color w:val="auto"/>
        </w:rPr>
      </w:pPr>
      <w:r>
        <w:rPr>
          <w:rFonts w:ascii="Arial" w:cs="Arial" w:eastAsia="Arial" w:hAnsi="Arial"/>
          <w:sz w:val="16"/>
          <w:szCs w:val="16"/>
          <w:i w:val="1"/>
          <w:iCs w:val="1"/>
          <w:color w:val="auto"/>
        </w:rPr>
        <w:t>The following disclosure amends and restates the table under the heading “Equity Plan Information as of April 1, 2026” on page 26 of the Proxy Statement: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26"/>
          <w:szCs w:val="26"/>
          <w:color w:val="00284D"/>
        </w:rPr>
        <w:t>Equity Plan Information as of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077585" cy="1594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1594485"/>
                    </a:xfrm>
                    <a:prstGeom prst="rect">
                      <a:avLst/>
                    </a:prstGeom>
                    <a:noFill/>
                  </pic:spPr>
                </pic:pic>
              </a:graphicData>
            </a:graphic>
          </wp:anchor>
        </w:drawing>
      </w:r>
    </w:p>
    <w:p>
      <w:pPr>
        <w:spacing w:after="0" w:line="146" w:lineRule="exact"/>
        <w:rPr>
          <w:sz w:val="20"/>
          <w:szCs w:val="20"/>
          <w:color w:val="auto"/>
        </w:rPr>
      </w:pPr>
    </w:p>
    <w:tbl>
      <w:tblPr>
        <w:tblLayout w:type="fixed"/>
        <w:tblInd w:w="4" w:type="dxa"/>
        <w:tblCellMar>
          <w:top w:w="0" w:type="dxa"/>
          <w:left w:w="0" w:type="dxa"/>
          <w:bottom w:w="0" w:type="dxa"/>
          <w:right w:w="0" w:type="dxa"/>
        </w:tblCellMar>
      </w:tblPr>
      <w:tr>
        <w:trPr>
          <w:trHeight w:val="318"/>
        </w:trPr>
        <w:tc>
          <w:tcPr>
            <w:tcW w:w="7640" w:type="dxa"/>
            <w:vAlign w:val="bottom"/>
            <w:tcBorders>
              <w:bottom w:val="single" w:sz="8" w:color="00284D"/>
            </w:tcBorders>
            <w:shd w:val="clear" w:color="auto" w:fill="00284D"/>
          </w:tcPr>
          <w:p>
            <w:pPr>
              <w:spacing w:after="0"/>
              <w:rPr>
                <w:sz w:val="24"/>
                <w:szCs w:val="24"/>
                <w:color w:val="auto"/>
              </w:rPr>
            </w:pPr>
          </w:p>
        </w:tc>
        <w:tc>
          <w:tcPr>
            <w:tcW w:w="1920" w:type="dxa"/>
            <w:vAlign w:val="bottom"/>
            <w:tcBorders>
              <w:bottom w:val="single" w:sz="8" w:color="00284D"/>
            </w:tcBorders>
            <w:shd w:val="clear" w:color="auto" w:fill="00284D"/>
          </w:tcPr>
          <w:p>
            <w:pPr>
              <w:jc w:val="right"/>
              <w:ind w:right="40"/>
              <w:spacing w:after="0"/>
              <w:rPr>
                <w:sz w:val="20"/>
                <w:szCs w:val="20"/>
                <w:color w:val="auto"/>
              </w:rPr>
            </w:pPr>
            <w:r>
              <w:rPr>
                <w:rFonts w:ascii="Arial" w:cs="Arial" w:eastAsia="Arial" w:hAnsi="Arial"/>
                <w:sz w:val="14"/>
                <w:szCs w:val="14"/>
                <w:b w:val="1"/>
                <w:bCs w:val="1"/>
                <w:color w:val="FFFFFF"/>
              </w:rPr>
              <w:t>Amount</w:t>
            </w:r>
          </w:p>
        </w:tc>
      </w:tr>
      <w:tr>
        <w:trPr>
          <w:trHeight w:val="241"/>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Stock options outstanding under all active and inactive equity plans:</w:t>
            </w:r>
          </w:p>
        </w:tc>
        <w:tc>
          <w:tcPr>
            <w:tcW w:w="1920" w:type="dxa"/>
            <w:vAlign w:val="bottom"/>
            <w:shd w:val="clear" w:color="auto" w:fill="E9E9EA"/>
          </w:tcPr>
          <w:p>
            <w:pPr>
              <w:jc w:val="right"/>
              <w:ind w:right="40"/>
              <w:spacing w:after="0"/>
              <w:rPr>
                <w:sz w:val="20"/>
                <w:szCs w:val="20"/>
                <w:color w:val="auto"/>
              </w:rPr>
            </w:pPr>
            <w:r>
              <w:rPr>
                <w:rFonts w:ascii="Arial" w:cs="Arial" w:eastAsia="Arial" w:hAnsi="Arial"/>
                <w:sz w:val="16"/>
                <w:szCs w:val="16"/>
                <w:color w:val="00284D"/>
              </w:rPr>
              <w:t>—</w:t>
            </w:r>
          </w:p>
        </w:tc>
      </w:tr>
      <w:tr>
        <w:trPr>
          <w:trHeight w:val="258"/>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Weighted average term of outstanding stock options under all active and inactive equity</w:t>
            </w:r>
          </w:p>
        </w:tc>
        <w:tc>
          <w:tcPr>
            <w:tcW w:w="1920" w:type="dxa"/>
            <w:vAlign w:val="bottom"/>
            <w:shd w:val="clear" w:color="auto" w:fill="E9E9EA"/>
          </w:tcPr>
          <w:p>
            <w:pPr>
              <w:spacing w:after="0"/>
              <w:rPr>
                <w:sz w:val="22"/>
                <w:szCs w:val="22"/>
                <w:color w:val="auto"/>
              </w:rPr>
            </w:pPr>
          </w:p>
        </w:tc>
      </w:tr>
      <w:tr>
        <w:trPr>
          <w:trHeight w:val="215"/>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plans:</w:t>
            </w:r>
          </w:p>
        </w:tc>
        <w:tc>
          <w:tcPr>
            <w:tcW w:w="1920" w:type="dxa"/>
            <w:vAlign w:val="bottom"/>
            <w:shd w:val="clear" w:color="auto" w:fill="E9E9EA"/>
          </w:tcPr>
          <w:p>
            <w:pPr>
              <w:jc w:val="right"/>
              <w:ind w:right="40"/>
              <w:spacing w:after="0"/>
              <w:rPr>
                <w:sz w:val="20"/>
                <w:szCs w:val="20"/>
                <w:color w:val="auto"/>
              </w:rPr>
            </w:pPr>
            <w:r>
              <w:rPr>
                <w:rFonts w:ascii="Arial" w:cs="Arial" w:eastAsia="Arial" w:hAnsi="Arial"/>
                <w:sz w:val="16"/>
                <w:szCs w:val="16"/>
                <w:color w:val="00284D"/>
              </w:rPr>
              <w:t>—</w:t>
            </w:r>
          </w:p>
        </w:tc>
      </w:tr>
      <w:tr>
        <w:trPr>
          <w:trHeight w:val="258"/>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Weighted average exercise price of outstanding options under all active and inactive</w:t>
            </w:r>
          </w:p>
        </w:tc>
        <w:tc>
          <w:tcPr>
            <w:tcW w:w="1920" w:type="dxa"/>
            <w:vAlign w:val="bottom"/>
            <w:shd w:val="clear" w:color="auto" w:fill="E9E9EA"/>
          </w:tcPr>
          <w:p>
            <w:pPr>
              <w:spacing w:after="0"/>
              <w:rPr>
                <w:sz w:val="22"/>
                <w:szCs w:val="22"/>
                <w:color w:val="auto"/>
              </w:rPr>
            </w:pPr>
          </w:p>
        </w:tc>
      </w:tr>
      <w:tr>
        <w:trPr>
          <w:trHeight w:val="215"/>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equity plans:</w:t>
            </w:r>
          </w:p>
        </w:tc>
        <w:tc>
          <w:tcPr>
            <w:tcW w:w="1920" w:type="dxa"/>
            <w:vAlign w:val="bottom"/>
            <w:shd w:val="clear" w:color="auto" w:fill="E9E9EA"/>
          </w:tcPr>
          <w:p>
            <w:pPr>
              <w:jc w:val="right"/>
              <w:ind w:right="40"/>
              <w:spacing w:after="0"/>
              <w:rPr>
                <w:sz w:val="20"/>
                <w:szCs w:val="20"/>
                <w:color w:val="auto"/>
              </w:rPr>
            </w:pPr>
            <w:r>
              <w:rPr>
                <w:rFonts w:ascii="Arial" w:cs="Arial" w:eastAsia="Arial" w:hAnsi="Arial"/>
                <w:sz w:val="16"/>
                <w:szCs w:val="16"/>
                <w:color w:val="00284D"/>
              </w:rPr>
              <w:t>—</w:t>
            </w:r>
          </w:p>
        </w:tc>
      </w:tr>
      <w:tr>
        <w:trPr>
          <w:trHeight w:val="258"/>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Outstanding and unvested RSUs granted subject to service-based vesting only, under all</w:t>
            </w:r>
          </w:p>
        </w:tc>
        <w:tc>
          <w:tcPr>
            <w:tcW w:w="1920" w:type="dxa"/>
            <w:vAlign w:val="bottom"/>
            <w:shd w:val="clear" w:color="auto" w:fill="E9E9EA"/>
          </w:tcPr>
          <w:p>
            <w:pPr>
              <w:spacing w:after="0"/>
              <w:rPr>
                <w:sz w:val="22"/>
                <w:szCs w:val="22"/>
                <w:color w:val="auto"/>
              </w:rPr>
            </w:pPr>
          </w:p>
        </w:tc>
      </w:tr>
      <w:tr>
        <w:trPr>
          <w:trHeight w:val="215"/>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active and inactive equity plans:</w:t>
            </w:r>
          </w:p>
        </w:tc>
        <w:tc>
          <w:tcPr>
            <w:tcW w:w="1920" w:type="dxa"/>
            <w:vAlign w:val="bottom"/>
            <w:shd w:val="clear" w:color="auto" w:fill="E9E9EA"/>
          </w:tcPr>
          <w:p>
            <w:pPr>
              <w:jc w:val="right"/>
              <w:ind w:right="60"/>
              <w:spacing w:after="0"/>
              <w:rPr>
                <w:sz w:val="20"/>
                <w:szCs w:val="20"/>
                <w:color w:val="auto"/>
              </w:rPr>
            </w:pPr>
            <w:r>
              <w:rPr>
                <w:rFonts w:ascii="Arial" w:cs="Arial" w:eastAsia="Arial" w:hAnsi="Arial"/>
                <w:sz w:val="16"/>
                <w:szCs w:val="16"/>
                <w:color w:val="00284D"/>
              </w:rPr>
              <w:t>2,711,667</w:t>
            </w:r>
          </w:p>
        </w:tc>
      </w:tr>
      <w:tr>
        <w:trPr>
          <w:trHeight w:val="258"/>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Outstanding and unvested RSUs granted subject to performance-based vesting, under all</w:t>
            </w:r>
          </w:p>
        </w:tc>
        <w:tc>
          <w:tcPr>
            <w:tcW w:w="1920" w:type="dxa"/>
            <w:vAlign w:val="bottom"/>
            <w:shd w:val="clear" w:color="auto" w:fill="E9E9EA"/>
          </w:tcPr>
          <w:p>
            <w:pPr>
              <w:jc w:val="right"/>
              <w:ind w:right="40"/>
              <w:spacing w:after="0"/>
              <w:rPr>
                <w:sz w:val="20"/>
                <w:szCs w:val="20"/>
                <w:color w:val="auto"/>
              </w:rPr>
            </w:pPr>
            <w:r>
              <w:rPr>
                <w:rFonts w:ascii="Arial" w:cs="Arial" w:eastAsia="Arial" w:hAnsi="Arial"/>
                <w:sz w:val="16"/>
                <w:szCs w:val="16"/>
                <w:b w:val="1"/>
                <w:bCs w:val="1"/>
                <w:color w:val="00284D"/>
              </w:rPr>
              <w:t>1,235,021</w:t>
            </w:r>
          </w:p>
        </w:tc>
      </w:tr>
      <w:tr>
        <w:trPr>
          <w:trHeight w:val="203"/>
        </w:trPr>
        <w:tc>
          <w:tcPr>
            <w:tcW w:w="7640" w:type="dxa"/>
            <w:vAlign w:val="bottom"/>
            <w:shd w:val="clear" w:color="auto" w:fill="E9E9EA"/>
          </w:tcPr>
          <w:p>
            <w:pPr>
              <w:ind w:left="80"/>
              <w:spacing w:after="0"/>
              <w:rPr>
                <w:sz w:val="20"/>
                <w:szCs w:val="20"/>
                <w:color w:val="auto"/>
              </w:rPr>
            </w:pPr>
            <w:r>
              <w:rPr>
                <w:rFonts w:ascii="Arial" w:cs="Arial" w:eastAsia="Arial" w:hAnsi="Arial"/>
                <w:sz w:val="16"/>
                <w:szCs w:val="16"/>
                <w:color w:val="00284D"/>
              </w:rPr>
              <w:t>active and inactive equity plans (at target performance)(1)</w:t>
            </w:r>
          </w:p>
        </w:tc>
        <w:tc>
          <w:tcPr>
            <w:tcW w:w="1920" w:type="dxa"/>
            <w:vAlign w:val="bottom"/>
            <w:shd w:val="clear" w:color="auto" w:fill="E9E9EA"/>
          </w:tcPr>
          <w:p>
            <w:pPr>
              <w:jc w:val="right"/>
              <w:ind w:right="40"/>
              <w:spacing w:after="0"/>
              <w:rPr>
                <w:sz w:val="20"/>
                <w:szCs w:val="20"/>
                <w:color w:val="auto"/>
              </w:rPr>
            </w:pPr>
            <w:r>
              <w:rPr>
                <w:rFonts w:ascii="Arial" w:cs="Arial" w:eastAsia="Arial" w:hAnsi="Arial"/>
                <w:sz w:val="16"/>
                <w:szCs w:val="16"/>
                <w:b w:val="1"/>
                <w:bCs w:val="1"/>
                <w:color w:val="00284D"/>
                <w:strike w:val="1"/>
              </w:rPr>
              <w:t>2,711,667</w:t>
            </w:r>
          </w:p>
        </w:tc>
      </w:tr>
      <w:tr>
        <w:trPr>
          <w:trHeight w:val="54"/>
        </w:trPr>
        <w:tc>
          <w:tcPr>
            <w:tcW w:w="7640" w:type="dxa"/>
            <w:vAlign w:val="bottom"/>
            <w:shd w:val="clear" w:color="auto" w:fill="E9E9EA"/>
          </w:tcPr>
          <w:p>
            <w:pPr>
              <w:spacing w:after="0"/>
              <w:rPr>
                <w:sz w:val="4"/>
                <w:szCs w:val="4"/>
                <w:color w:val="auto"/>
              </w:rPr>
            </w:pPr>
          </w:p>
        </w:tc>
        <w:tc>
          <w:tcPr>
            <w:tcW w:w="1920" w:type="dxa"/>
            <w:vAlign w:val="bottom"/>
            <w:shd w:val="clear" w:color="auto" w:fill="E9E9EA"/>
          </w:tcPr>
          <w:p>
            <w:pPr>
              <w:spacing w:after="0"/>
              <w:rPr>
                <w:sz w:val="4"/>
                <w:szCs w:val="4"/>
                <w:color w:val="auto"/>
              </w:rPr>
            </w:pPr>
          </w:p>
        </w:tc>
      </w:tr>
    </w:tbl>
    <w:p>
      <w:pPr>
        <w:spacing w:after="0" w:line="23" w:lineRule="exact"/>
        <w:rPr>
          <w:sz w:val="20"/>
          <w:szCs w:val="20"/>
          <w:color w:val="auto"/>
        </w:rPr>
      </w:pPr>
    </w:p>
    <w:p>
      <w:pPr>
        <w:ind w:left="344" w:hanging="344"/>
        <w:spacing w:after="0"/>
        <w:tabs>
          <w:tab w:leader="none" w:pos="344"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These performance-based RSUs cover a total of 2,261,946 Shares at maximum performance.</w:t>
      </w:r>
    </w:p>
    <w:p>
      <w:pPr>
        <w:spacing w:after="0" w:line="144"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i w:val="1"/>
          <w:iCs w:val="1"/>
          <w:color w:val="auto"/>
        </w:rPr>
        <w:t>The following disclosure amends and restates the third paragraph under the heading “Authorized Shares; Adjustments” on page 29 of the Proxy Statement:</w:t>
      </w:r>
    </w:p>
    <w:p>
      <w:pPr>
        <w:spacing w:after="0" w:line="131"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 xml:space="preserve">If an Award expires or becomes unexercisable without having been exercised in full, is surrendered pursuant to an exchange program (as described below), or, with respect to restricted stock, RSUs, or performance awards granted under the 2025 Plan, is forfeited to or repurchased due to failure to vest, the unpurchased Shares (or for Awards other than stock options or stock appreciation rights, the forfeited or repurchased Shares) will become available for future grant or sale under the 2025 Plan. With respect to stock appreciation rights granted under the 2025 Plan, the gross number of Shares exercised will cease to be available under the 2025 Plan and all remaining Shares under stock appreciation rights will remain available for future grant or sale under the 2025 Plan. Shares that actually have been issued under the 2025 Plan under any Award will not be returned to the 2025 Plan; except if Shares issued pursuant to Awards of restricted stock, RSUs, or performance awards are repurchased or forfeited due to failure to vest, such Shares will become available for future grant under the 2025 Plan. Shares otherwise issuable under an Award that are used to pay the exercise price of an Award or satisfy the tax liabilities or withholding obligations related to an Award (which withholdings may be in amounts greater than the minimum statutory amount required to be withheld as determined by the administrator of the 2025 Plan) will </w:t>
      </w:r>
      <w:r>
        <w:rPr>
          <w:rFonts w:ascii="Arial" w:cs="Arial" w:eastAsia="Arial" w:hAnsi="Arial"/>
          <w:sz w:val="16"/>
          <w:szCs w:val="16"/>
          <w:b w:val="1"/>
          <w:bCs w:val="1"/>
          <w:u w:val="single" w:color="auto"/>
          <w:color w:val="00284D"/>
        </w:rPr>
        <w:t>not</w:t>
      </w:r>
      <w:r>
        <w:rPr>
          <w:rFonts w:ascii="Arial" w:cs="Arial" w:eastAsia="Arial" w:hAnsi="Arial"/>
          <w:sz w:val="16"/>
          <w:szCs w:val="16"/>
          <w:b w:val="1"/>
          <w:bCs w:val="1"/>
          <w:color w:val="00284D"/>
        </w:rPr>
        <w:t xml:space="preserve"> </w:t>
      </w:r>
      <w:r>
        <w:rPr>
          <w:rFonts w:ascii="Arial" w:cs="Arial" w:eastAsia="Arial" w:hAnsi="Arial"/>
          <w:sz w:val="16"/>
          <w:szCs w:val="16"/>
          <w:color w:val="000000"/>
        </w:rPr>
        <w:t>become available for future grant under the 2025 Plan. To the extent an Award is paid out in cash rather than Shares, such cash</w:t>
      </w:r>
      <w:r>
        <w:rPr>
          <w:rFonts w:ascii="Arial" w:cs="Arial" w:eastAsia="Arial" w:hAnsi="Arial"/>
          <w:sz w:val="16"/>
          <w:szCs w:val="16"/>
          <w:b w:val="1"/>
          <w:bCs w:val="1"/>
          <w:color w:val="00284D"/>
        </w:rPr>
        <w:t xml:space="preserve"> </w:t>
      </w:r>
      <w:r>
        <w:rPr>
          <w:rFonts w:ascii="Arial" w:cs="Arial" w:eastAsia="Arial" w:hAnsi="Arial"/>
          <w:sz w:val="16"/>
          <w:szCs w:val="16"/>
          <w:color w:val="000000"/>
        </w:rPr>
        <w:t>payment will not result in a reduction in the number of Shares available for issuance under the 2025 Plan. However, subject to the adjustment provisions in the 2025 Plan, the maximum number of Shares that may be issued upon exercise of any incentive stock options granted under the 2025 Plan will equal to the maximum number of Shares described in the immediately preceding paragraph plus any Shares that become available as described above in this paragraph to the extent permitted by Section 422 of the Code.</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Section 3.2 of the 2025 Plan has been amended as follows:</w:t>
      </w:r>
    </w:p>
    <w:p>
      <w:pPr>
        <w:spacing w:after="0" w:line="179"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b w:val="1"/>
          <w:bCs w:val="1"/>
          <w:color w:val="00284D"/>
        </w:rPr>
        <w:t>3.2 Lapsed Awards</w:t>
      </w:r>
      <w:r>
        <w:rPr>
          <w:rFonts w:ascii="Arial" w:cs="Arial" w:eastAsia="Arial" w:hAnsi="Arial"/>
          <w:sz w:val="16"/>
          <w:szCs w:val="16"/>
          <w:color w:val="000000"/>
        </w:rPr>
        <w:t>. If an Award expires or becomes unexercisable without having been exercised in full, is surrendered pursuant to</w:t>
      </w:r>
      <w:r>
        <w:rPr>
          <w:rFonts w:ascii="Arial" w:cs="Arial" w:eastAsia="Arial" w:hAnsi="Arial"/>
          <w:sz w:val="16"/>
          <w:szCs w:val="16"/>
          <w:b w:val="1"/>
          <w:bCs w:val="1"/>
          <w:color w:val="00284D"/>
        </w:rPr>
        <w:t xml:space="preserve"> </w:t>
      </w:r>
      <w:r>
        <w:rPr>
          <w:rFonts w:ascii="Arial" w:cs="Arial" w:eastAsia="Arial" w:hAnsi="Arial"/>
          <w:sz w:val="16"/>
          <w:szCs w:val="16"/>
          <w:color w:val="000000"/>
        </w:rPr>
        <w:t xml:space="preserve">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exercised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w:t>
      </w:r>
      <w:r>
        <w:rPr>
          <w:rFonts w:ascii="Arial" w:cs="Arial" w:eastAsia="Arial" w:hAnsi="Arial"/>
          <w:sz w:val="16"/>
          <w:szCs w:val="16"/>
          <w:b w:val="1"/>
          <w:bCs w:val="1"/>
          <w:u w:val="single" w:color="auto"/>
          <w:color w:val="00284D"/>
        </w:rPr>
        <w:t>not</w:t>
      </w:r>
      <w:r>
        <w:rPr>
          <w:rFonts w:ascii="Arial" w:cs="Arial" w:eastAsia="Arial" w:hAnsi="Arial"/>
          <w:sz w:val="16"/>
          <w:szCs w:val="16"/>
          <w:color w:val="000000"/>
        </w:rPr>
        <w:t xml:space="preserve"> become available for future grant or sale under the Plan. To the extent an Award under the Plan is paid out in cash rather than Shares, such cash payment will not result in reducing the number of Shares available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198120</wp:posOffset>
            </wp:positionV>
            <wp:extent cx="625475"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475" cy="196850"/>
                    </a:xfrm>
                    <a:prstGeom prst="rect">
                      <a:avLst/>
                    </a:prstGeom>
                    <a:noFill/>
                  </pic:spPr>
                </pic:pic>
              </a:graphicData>
            </a:graphic>
          </wp:anchor>
        </w:drawing>
      </w:r>
    </w:p>
    <w:p>
      <w:pPr>
        <w:spacing w:after="0" w:line="345" w:lineRule="exact"/>
        <w:rPr>
          <w:sz w:val="20"/>
          <w:szCs w:val="20"/>
          <w:color w:val="auto"/>
        </w:rPr>
      </w:pPr>
    </w:p>
    <w:p>
      <w:pPr>
        <w:ind w:left="4"/>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192405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35" w:right="1179" w:bottom="1440" w:gutter="0" w:footer="0" w:header="0"/>
        </w:sectPr>
      </w:pPr>
    </w:p>
    <w:bookmarkStart w:id="3" w:name="page4"/>
    <w:bookmarkEnd w:id="3"/>
    <w:p>
      <w:pPr>
        <w:spacing w:after="0"/>
        <w:rPr>
          <w:sz w:val="20"/>
          <w:szCs w:val="20"/>
          <w:color w:val="auto"/>
        </w:rPr>
      </w:pPr>
      <w:r>
        <w:rPr>
          <w:rFonts w:ascii="Arial" w:cs="Arial" w:eastAsia="Arial" w:hAnsi="Arial"/>
          <w:sz w:val="26"/>
          <w:szCs w:val="26"/>
          <w:color w:val="00284D"/>
        </w:rPr>
        <w:t>Voting Matters</w:t>
      </w:r>
    </w:p>
    <w:p>
      <w:pPr>
        <w:spacing w:after="0" w:line="5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If you have already voted by Internet, telephone, or by mail, no action is required from you unless you wish to change your vote. If you are a stockholder of record, you can change your vote or revoke your proxy any time before the Annual Meeting by:</w:t>
      </w:r>
    </w:p>
    <w:p>
      <w:pPr>
        <w:spacing w:after="0" w:line="102" w:lineRule="exact"/>
        <w:rPr>
          <w:sz w:val="20"/>
          <w:szCs w:val="20"/>
          <w:color w:val="auto"/>
        </w:rPr>
      </w:pPr>
    </w:p>
    <w:p>
      <w:pPr>
        <w:ind w:left="640" w:hanging="284"/>
        <w:spacing w:after="0"/>
        <w:tabs>
          <w:tab w:leader="none" w:pos="640" w:val="left"/>
        </w:tabs>
        <w:numPr>
          <w:ilvl w:val="0"/>
          <w:numId w:val="6"/>
        </w:numPr>
        <w:rPr>
          <w:rFonts w:ascii="Arial" w:cs="Arial" w:eastAsia="Arial" w:hAnsi="Arial"/>
          <w:sz w:val="16"/>
          <w:szCs w:val="16"/>
          <w:color w:val="00284D"/>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284D"/>
        </w:rPr>
      </w:pPr>
    </w:p>
    <w:p>
      <w:pPr>
        <w:ind w:left="640" w:hanging="284"/>
        <w:spacing w:after="0"/>
        <w:tabs>
          <w:tab w:leader="none" w:pos="640" w:val="left"/>
        </w:tabs>
        <w:numPr>
          <w:ilvl w:val="0"/>
          <w:numId w:val="6"/>
        </w:numPr>
        <w:rPr>
          <w:rFonts w:ascii="Arial" w:cs="Arial" w:eastAsia="Arial" w:hAnsi="Arial"/>
          <w:sz w:val="16"/>
          <w:szCs w:val="16"/>
          <w:color w:val="00284D"/>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284D"/>
        </w:rPr>
      </w:pPr>
    </w:p>
    <w:p>
      <w:pPr>
        <w:ind w:left="640" w:hanging="284"/>
        <w:spacing w:after="0"/>
        <w:tabs>
          <w:tab w:leader="none" w:pos="640" w:val="left"/>
        </w:tabs>
        <w:numPr>
          <w:ilvl w:val="0"/>
          <w:numId w:val="6"/>
        </w:numPr>
        <w:rPr>
          <w:rFonts w:ascii="Arial" w:cs="Arial" w:eastAsia="Arial" w:hAnsi="Arial"/>
          <w:sz w:val="16"/>
          <w:szCs w:val="16"/>
          <w:color w:val="00284D"/>
        </w:rPr>
      </w:pPr>
      <w:r>
        <w:rPr>
          <w:rFonts w:ascii="Arial" w:cs="Arial" w:eastAsia="Arial" w:hAnsi="Arial"/>
          <w:sz w:val="16"/>
          <w:szCs w:val="16"/>
          <w:color w:val="auto"/>
        </w:rPr>
        <w:t>notifying the Secretary of the Company, in writing, at Harmonic Inc., 2590 Orchard Parkway, San Jose, California 95131; or</w:t>
      </w:r>
    </w:p>
    <w:p>
      <w:pPr>
        <w:spacing w:after="0" w:line="167" w:lineRule="exact"/>
        <w:rPr>
          <w:rFonts w:ascii="Arial" w:cs="Arial" w:eastAsia="Arial" w:hAnsi="Arial"/>
          <w:sz w:val="16"/>
          <w:szCs w:val="16"/>
          <w:color w:val="00284D"/>
        </w:rPr>
      </w:pPr>
    </w:p>
    <w:p>
      <w:pPr>
        <w:ind w:left="640" w:hanging="284"/>
        <w:spacing w:after="0"/>
        <w:tabs>
          <w:tab w:leader="none" w:pos="640" w:val="left"/>
        </w:tabs>
        <w:numPr>
          <w:ilvl w:val="0"/>
          <w:numId w:val="6"/>
        </w:numPr>
        <w:rPr>
          <w:rFonts w:ascii="Arial" w:cs="Arial" w:eastAsia="Arial" w:hAnsi="Arial"/>
          <w:sz w:val="16"/>
          <w:szCs w:val="16"/>
          <w:color w:val="00284D"/>
        </w:rPr>
      </w:pPr>
      <w:r>
        <w:rPr>
          <w:rFonts w:ascii="Arial" w:cs="Arial" w:eastAsia="Arial" w:hAnsi="Arial"/>
          <w:sz w:val="16"/>
          <w:szCs w:val="16"/>
          <w:color w:val="auto"/>
        </w:rPr>
        <w:t>attending and voting at the Annual Meeting (although attendance at the Annual Meeting will not, by itself, revoke a proxy).</w:t>
      </w:r>
    </w:p>
    <w:p>
      <w:pPr>
        <w:spacing w:after="0" w:line="18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 The Amendment does not change the proposals to be acted upon at the Annual Meeting, which are described in the Proxy Statement.</w:t>
      </w:r>
    </w:p>
    <w:p>
      <w:pPr>
        <w:spacing w:after="0" w:line="13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Except as described in this Amendment, the information disclosed in the Proxy Statement continues to apply. To the extent that information in this Amendment differs from information disclosed in the Proxy Statement, the information in this Amendment applies. The Proxy Statement, together with this Amendment, have been filed with the SEC and are also available on our website at https://investor.harmonicinc.com/financial-information. You may also obtain a copy of our 2023 Annual Report without charge by sending a written request to Harmonic Inc., Attention: Corporate Secretary, 2590 Orchard Parkway, San Jose, California 95131.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191770</wp:posOffset>
            </wp:positionV>
            <wp:extent cx="62611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200660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82" w:right="1179" w:bottom="1440" w:gutter="0" w:footer="0" w:header="0"/>
        </w:sectPr>
      </w:pPr>
    </w:p>
    <w:bookmarkStart w:id="4" w:name="page5"/>
    <w:bookmarkEnd w:id="4"/>
    <w:p>
      <w:pPr>
        <w:ind w:left="244"/>
        <w:spacing w:after="0"/>
        <w:rPr>
          <w:sz w:val="20"/>
          <w:szCs w:val="20"/>
          <w:color w:val="auto"/>
        </w:rPr>
      </w:pPr>
      <w:r>
        <w:rPr>
          <w:rFonts w:ascii="Arial" w:cs="Arial" w:eastAsia="Arial" w:hAnsi="Arial"/>
          <w:sz w:val="29"/>
          <w:szCs w:val="29"/>
          <w:color w:val="00284D"/>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1714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222885"/>
                    </a:xfrm>
                    <a:prstGeom prst="rect">
                      <a:avLst/>
                    </a:prstGeom>
                    <a:noFill/>
                  </pic:spPr>
                </pic:pic>
              </a:graphicData>
            </a:graphic>
          </wp:anchor>
        </w:drawing>
      </w:r>
    </w:p>
    <w:p>
      <w:pPr>
        <w:spacing w:after="0" w:line="78" w:lineRule="exact"/>
        <w:rPr>
          <w:sz w:val="20"/>
          <w:szCs w:val="20"/>
          <w:color w:val="auto"/>
        </w:rPr>
      </w:pPr>
    </w:p>
    <w:p>
      <w:pPr>
        <w:jc w:val="center"/>
        <w:ind w:right="36"/>
        <w:spacing w:after="0"/>
        <w:rPr>
          <w:sz w:val="20"/>
          <w:szCs w:val="20"/>
          <w:color w:val="auto"/>
        </w:rPr>
      </w:pPr>
      <w:r>
        <w:rPr>
          <w:rFonts w:ascii="Arial" w:cs="Arial" w:eastAsia="Arial" w:hAnsi="Arial"/>
          <w:sz w:val="18"/>
          <w:szCs w:val="18"/>
          <w:b w:val="1"/>
          <w:bCs w:val="1"/>
          <w:color w:val="auto"/>
        </w:rPr>
        <w:t>HARMONIC INC.</w:t>
      </w:r>
    </w:p>
    <w:p>
      <w:pPr>
        <w:spacing w:after="0" w:line="9" w:lineRule="exact"/>
        <w:rPr>
          <w:sz w:val="20"/>
          <w:szCs w:val="20"/>
          <w:color w:val="auto"/>
        </w:rPr>
      </w:pPr>
    </w:p>
    <w:p>
      <w:pPr>
        <w:jc w:val="center"/>
        <w:ind w:right="116"/>
        <w:spacing w:after="0"/>
        <w:rPr>
          <w:sz w:val="20"/>
          <w:szCs w:val="20"/>
          <w:color w:val="auto"/>
        </w:rPr>
      </w:pPr>
      <w:r>
        <w:rPr>
          <w:rFonts w:ascii="Arial" w:cs="Arial" w:eastAsia="Arial" w:hAnsi="Arial"/>
          <w:sz w:val="18"/>
          <w:szCs w:val="18"/>
          <w:b w:val="1"/>
          <w:bCs w:val="1"/>
          <w:color w:val="auto"/>
        </w:rPr>
        <w:t> </w:t>
      </w:r>
    </w:p>
    <w:p>
      <w:pPr>
        <w:jc w:val="center"/>
        <w:ind w:right="36"/>
        <w:spacing w:after="0" w:line="234" w:lineRule="auto"/>
        <w:rPr>
          <w:sz w:val="20"/>
          <w:szCs w:val="20"/>
          <w:color w:val="auto"/>
        </w:rPr>
      </w:pPr>
      <w:r>
        <w:rPr>
          <w:rFonts w:ascii="Arial" w:cs="Arial" w:eastAsia="Arial" w:hAnsi="Arial"/>
          <w:sz w:val="18"/>
          <w:szCs w:val="18"/>
          <w:b w:val="1"/>
          <w:bCs w:val="1"/>
          <w:color w:val="auto"/>
        </w:rPr>
        <w:t>2025 EQUITY INCENTIVE PLAN</w:t>
      </w:r>
    </w:p>
    <w:p>
      <w:pPr>
        <w:jc w:val="center"/>
        <w:ind w:right="116"/>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AMENDED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-19050</wp:posOffset>
            </wp:positionV>
            <wp:extent cx="571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51" w:lineRule="exact"/>
        <w:rPr>
          <w:sz w:val="20"/>
          <w:szCs w:val="20"/>
          <w:color w:val="auto"/>
        </w:rPr>
      </w:pPr>
    </w:p>
    <w:p>
      <w:pPr>
        <w:ind w:left="344" w:hanging="344"/>
        <w:spacing w:after="0"/>
        <w:tabs>
          <w:tab w:leader="none" w:pos="34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urposes of the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6"/>
          <w:szCs w:val="16"/>
          <w:color w:val="auto"/>
        </w:rPr>
        <w:t>. The purposes of the Plan are:</w:t>
      </w:r>
    </w:p>
    <w:p>
      <w:pPr>
        <w:spacing w:after="0" w:line="167" w:lineRule="exact"/>
        <w:rPr>
          <w:rFonts w:ascii="Arial" w:cs="Arial" w:eastAsia="Arial" w:hAnsi="Arial"/>
          <w:sz w:val="16"/>
          <w:szCs w:val="16"/>
          <w:color w:val="auto"/>
        </w:rPr>
      </w:pPr>
    </w:p>
    <w:p>
      <w:pPr>
        <w:ind w:left="644" w:hanging="284"/>
        <w:spacing w:after="0"/>
        <w:tabs>
          <w:tab w:leader="none" w:pos="644" w:val="left"/>
        </w:tabs>
        <w:numPr>
          <w:ilvl w:val="1"/>
          <w:numId w:val="7"/>
        </w:numPr>
        <w:rPr>
          <w:rFonts w:ascii="Arial" w:cs="Arial" w:eastAsia="Arial" w:hAnsi="Arial"/>
          <w:sz w:val="16"/>
          <w:szCs w:val="16"/>
          <w:color w:val="00284D"/>
        </w:rPr>
      </w:pPr>
      <w:r>
        <w:rPr>
          <w:rFonts w:ascii="Arial" w:cs="Arial" w:eastAsia="Arial" w:hAnsi="Arial"/>
          <w:sz w:val="16"/>
          <w:szCs w:val="16"/>
          <w:color w:val="auto"/>
        </w:rPr>
        <w:t>to attract and retain the best available personnel for positions of substantial responsibility,</w:t>
      </w:r>
    </w:p>
    <w:p>
      <w:pPr>
        <w:spacing w:after="0" w:line="167" w:lineRule="exact"/>
        <w:rPr>
          <w:rFonts w:ascii="Arial" w:cs="Arial" w:eastAsia="Arial" w:hAnsi="Arial"/>
          <w:sz w:val="16"/>
          <w:szCs w:val="16"/>
          <w:color w:val="00284D"/>
        </w:rPr>
      </w:pPr>
    </w:p>
    <w:p>
      <w:pPr>
        <w:ind w:left="644" w:hanging="284"/>
        <w:spacing w:after="0"/>
        <w:tabs>
          <w:tab w:leader="none" w:pos="644" w:val="left"/>
        </w:tabs>
        <w:numPr>
          <w:ilvl w:val="1"/>
          <w:numId w:val="7"/>
        </w:numPr>
        <w:rPr>
          <w:rFonts w:ascii="Arial" w:cs="Arial" w:eastAsia="Arial" w:hAnsi="Arial"/>
          <w:sz w:val="16"/>
          <w:szCs w:val="16"/>
          <w:color w:val="00284D"/>
        </w:rPr>
      </w:pPr>
      <w:r>
        <w:rPr>
          <w:rFonts w:ascii="Arial" w:cs="Arial" w:eastAsia="Arial" w:hAnsi="Arial"/>
          <w:sz w:val="16"/>
          <w:szCs w:val="16"/>
          <w:color w:val="auto"/>
        </w:rPr>
        <w:t>to provide additional incentive to Employees, Directors and Consultants, and</w:t>
      </w:r>
    </w:p>
    <w:p>
      <w:pPr>
        <w:spacing w:after="0" w:line="167" w:lineRule="exact"/>
        <w:rPr>
          <w:rFonts w:ascii="Arial" w:cs="Arial" w:eastAsia="Arial" w:hAnsi="Arial"/>
          <w:sz w:val="16"/>
          <w:szCs w:val="16"/>
          <w:color w:val="00284D"/>
        </w:rPr>
      </w:pPr>
    </w:p>
    <w:p>
      <w:pPr>
        <w:ind w:left="644" w:hanging="284"/>
        <w:spacing w:after="0"/>
        <w:tabs>
          <w:tab w:leader="none" w:pos="644" w:val="left"/>
        </w:tabs>
        <w:numPr>
          <w:ilvl w:val="1"/>
          <w:numId w:val="7"/>
        </w:numPr>
        <w:rPr>
          <w:rFonts w:ascii="Arial" w:cs="Arial" w:eastAsia="Arial" w:hAnsi="Arial"/>
          <w:sz w:val="16"/>
          <w:szCs w:val="16"/>
          <w:color w:val="00284D"/>
        </w:rPr>
      </w:pPr>
      <w:r>
        <w:rPr>
          <w:rFonts w:ascii="Arial" w:cs="Arial" w:eastAsia="Arial" w:hAnsi="Arial"/>
          <w:sz w:val="16"/>
          <w:szCs w:val="16"/>
          <w:color w:val="auto"/>
        </w:rPr>
        <w:t>to promote the success of the Company’s business.</w:t>
      </w:r>
    </w:p>
    <w:p>
      <w:pPr>
        <w:spacing w:after="0" w:line="181" w:lineRule="exact"/>
        <w:rPr>
          <w:sz w:val="20"/>
          <w:szCs w:val="20"/>
          <w:color w:val="auto"/>
        </w:rPr>
      </w:pPr>
    </w:p>
    <w:p>
      <w:pPr>
        <w:ind w:left="364" w:right="40"/>
        <w:spacing w:after="0" w:line="286" w:lineRule="auto"/>
        <w:rPr>
          <w:sz w:val="20"/>
          <w:szCs w:val="20"/>
          <w:color w:val="auto"/>
        </w:rPr>
      </w:pPr>
      <w:r>
        <w:rPr>
          <w:rFonts w:ascii="Arial" w:cs="Arial" w:eastAsia="Arial" w:hAnsi="Arial"/>
          <w:sz w:val="16"/>
          <w:szCs w:val="16"/>
          <w:color w:val="auto"/>
        </w:rPr>
        <w:t>The Plan permits the grant of Incentive Stock Options, Nonstatutory Stock Options, Stock Appreciation Rights, Restricted Stock, Restricted Stock Units and Performance Awards.</w:t>
      </w:r>
    </w:p>
    <w:p>
      <w:pPr>
        <w:spacing w:after="0" w:line="115" w:lineRule="exact"/>
        <w:rPr>
          <w:sz w:val="20"/>
          <w:szCs w:val="20"/>
          <w:color w:val="auto"/>
        </w:rPr>
      </w:pPr>
    </w:p>
    <w:p>
      <w:pPr>
        <w:ind w:left="344" w:hanging="344"/>
        <w:spacing w:after="0"/>
        <w:tabs>
          <w:tab w:leader="none" w:pos="34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D</w:t>
      </w:r>
      <w:r>
        <w:rPr>
          <w:rFonts w:ascii="Arial" w:cs="Arial" w:eastAsia="Arial" w:hAnsi="Arial"/>
          <w:sz w:val="10"/>
          <w:szCs w:val="10"/>
          <w:b w:val="1"/>
          <w:bCs w:val="1"/>
          <w:color w:val="auto"/>
        </w:rPr>
        <w:t>efinitions</w:t>
      </w:r>
      <w:r>
        <w:rPr>
          <w:rFonts w:ascii="Arial" w:cs="Arial" w:eastAsia="Arial" w:hAnsi="Arial"/>
          <w:sz w:val="16"/>
          <w:szCs w:val="16"/>
          <w:color w:val="auto"/>
        </w:rPr>
        <w:t>. As used herein, the following definitions will apply:</w:t>
      </w:r>
    </w:p>
    <w:p>
      <w:pPr>
        <w:spacing w:after="0" w:line="194" w:lineRule="exact"/>
        <w:rPr>
          <w:rFonts w:ascii="Arial" w:cs="Arial" w:eastAsia="Arial" w:hAnsi="Arial"/>
          <w:sz w:val="16"/>
          <w:szCs w:val="16"/>
          <w:color w:val="auto"/>
        </w:rPr>
      </w:pPr>
    </w:p>
    <w:p>
      <w:pPr>
        <w:ind w:left="364"/>
        <w:spacing w:after="0"/>
        <w:rPr>
          <w:rFonts w:ascii="Arial" w:cs="Arial" w:eastAsia="Arial" w:hAnsi="Arial"/>
          <w:sz w:val="16"/>
          <w:szCs w:val="16"/>
          <w:color w:val="auto"/>
        </w:rPr>
      </w:pPr>
      <w:r>
        <w:rPr>
          <w:rFonts w:ascii="Arial" w:cs="Arial" w:eastAsia="Arial" w:hAnsi="Arial"/>
          <w:sz w:val="16"/>
          <w:szCs w:val="16"/>
          <w:color w:val="auto"/>
        </w:rPr>
        <w:t>2.1  “</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of its Committees as will be administering the Plan, in accordance with Section 4.</w:t>
      </w:r>
    </w:p>
    <w:p>
      <w:pPr>
        <w:spacing w:after="0" w:line="180" w:lineRule="exact"/>
        <w:rPr>
          <w:rFonts w:ascii="Arial" w:cs="Arial" w:eastAsia="Arial" w:hAnsi="Arial"/>
          <w:sz w:val="16"/>
          <w:szCs w:val="16"/>
          <w:color w:val="auto"/>
        </w:rPr>
      </w:pPr>
    </w:p>
    <w:p>
      <w:pPr>
        <w:ind w:left="704" w:right="80" w:hanging="351"/>
        <w:spacing w:after="0" w:line="256" w:lineRule="auto"/>
        <w:rPr>
          <w:rFonts w:ascii="Arial" w:cs="Arial" w:eastAsia="Arial" w:hAnsi="Arial"/>
          <w:sz w:val="16"/>
          <w:szCs w:val="16"/>
          <w:color w:val="auto"/>
        </w:rPr>
      </w:pPr>
      <w:r>
        <w:rPr>
          <w:rFonts w:ascii="Arial" w:cs="Arial" w:eastAsia="Arial" w:hAnsi="Arial"/>
          <w:sz w:val="16"/>
          <w:szCs w:val="16"/>
          <w:color w:val="auto"/>
        </w:rPr>
        <w:t>2.2 “</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39" w:lineRule="exact"/>
        <w:rPr>
          <w:rFonts w:ascii="Arial" w:cs="Arial" w:eastAsia="Arial" w:hAnsi="Arial"/>
          <w:sz w:val="16"/>
          <w:szCs w:val="16"/>
          <w:color w:val="auto"/>
        </w:rPr>
      </w:pPr>
    </w:p>
    <w:p>
      <w:pPr>
        <w:ind w:left="704" w:right="100" w:hanging="351"/>
        <w:spacing w:after="0" w:line="286" w:lineRule="auto"/>
        <w:rPr>
          <w:rFonts w:ascii="Arial" w:cs="Arial" w:eastAsia="Arial" w:hAnsi="Arial"/>
          <w:sz w:val="16"/>
          <w:szCs w:val="16"/>
          <w:color w:val="auto"/>
        </w:rPr>
      </w:pPr>
      <w:r>
        <w:rPr>
          <w:rFonts w:ascii="Arial" w:cs="Arial" w:eastAsia="Arial" w:hAnsi="Arial"/>
          <w:sz w:val="16"/>
          <w:szCs w:val="16"/>
          <w:color w:val="auto"/>
        </w:rPr>
        <w:t>2.3 “</w:t>
      </w:r>
      <w:r>
        <w:rPr>
          <w:rFonts w:ascii="Arial" w:cs="Arial" w:eastAsia="Arial" w:hAnsi="Arial"/>
          <w:sz w:val="16"/>
          <w:szCs w:val="16"/>
          <w:b w:val="1"/>
          <w:bCs w:val="1"/>
          <w:color w:val="auto"/>
        </w:rPr>
        <w:t>Award</w:t>
      </w:r>
      <w:r>
        <w:rPr>
          <w:rFonts w:ascii="Arial" w:cs="Arial" w:eastAsia="Arial" w:hAnsi="Arial"/>
          <w:sz w:val="16"/>
          <w:szCs w:val="16"/>
          <w:color w:val="auto"/>
        </w:rPr>
        <w:t>” means, individually or collectively, a grant under the Plan of Options, Stock Appreciation Rights, Restricted Stock, Restricted Stock Units, or Performance Awards.</w:t>
      </w:r>
    </w:p>
    <w:p>
      <w:pPr>
        <w:spacing w:after="0" w:line="128" w:lineRule="exact"/>
        <w:rPr>
          <w:rFonts w:ascii="Arial" w:cs="Arial" w:eastAsia="Arial" w:hAnsi="Arial"/>
          <w:sz w:val="16"/>
          <w:szCs w:val="16"/>
          <w:color w:val="auto"/>
        </w:rPr>
      </w:pPr>
    </w:p>
    <w:p>
      <w:pPr>
        <w:ind w:left="704" w:right="240" w:hanging="351"/>
        <w:spacing w:after="0" w:line="286" w:lineRule="auto"/>
        <w:rPr>
          <w:rFonts w:ascii="Arial" w:cs="Arial" w:eastAsia="Arial" w:hAnsi="Arial"/>
          <w:sz w:val="16"/>
          <w:szCs w:val="16"/>
          <w:color w:val="auto"/>
        </w:rPr>
      </w:pPr>
      <w:r>
        <w:rPr>
          <w:rFonts w:ascii="Arial" w:cs="Arial" w:eastAsia="Arial" w:hAnsi="Arial"/>
          <w:sz w:val="16"/>
          <w:szCs w:val="16"/>
          <w:color w:val="auto"/>
        </w:rPr>
        <w:t>2.4 “</w:t>
      </w:r>
      <w:r>
        <w:rPr>
          <w:rFonts w:ascii="Arial" w:cs="Arial" w:eastAsia="Arial" w:hAnsi="Arial"/>
          <w:sz w:val="16"/>
          <w:szCs w:val="16"/>
          <w:b w:val="1"/>
          <w:bCs w:val="1"/>
          <w:color w:val="auto"/>
        </w:rPr>
        <w:t>Award Agreement</w:t>
      </w:r>
      <w:r>
        <w:rPr>
          <w:rFonts w:ascii="Arial" w:cs="Arial" w:eastAsia="Arial" w:hAnsi="Arial"/>
          <w:sz w:val="16"/>
          <w:szCs w:val="16"/>
          <w:color w:val="auto"/>
        </w:rPr>
        <w:t>” means the written or electronic agreement setting forth the terms and conditions applicable to each Award granted under the Plan. The Award Agreement is subject to the terms and conditions of the Plan.</w:t>
      </w:r>
    </w:p>
    <w:p>
      <w:pPr>
        <w:spacing w:after="0" w:line="115" w:lineRule="exact"/>
        <w:rPr>
          <w:rFonts w:ascii="Arial" w:cs="Arial" w:eastAsia="Arial" w:hAnsi="Arial"/>
          <w:sz w:val="16"/>
          <w:szCs w:val="16"/>
          <w:color w:val="auto"/>
        </w:rPr>
      </w:pPr>
    </w:p>
    <w:p>
      <w:pPr>
        <w:ind w:left="364"/>
        <w:spacing w:after="0"/>
        <w:rPr>
          <w:rFonts w:ascii="Arial" w:cs="Arial" w:eastAsia="Arial" w:hAnsi="Arial"/>
          <w:sz w:val="16"/>
          <w:szCs w:val="16"/>
          <w:color w:val="auto"/>
        </w:rPr>
      </w:pPr>
      <w:r>
        <w:rPr>
          <w:rFonts w:ascii="Arial" w:cs="Arial" w:eastAsia="Arial" w:hAnsi="Arial"/>
          <w:sz w:val="16"/>
          <w:szCs w:val="16"/>
          <w:color w:val="auto"/>
        </w:rPr>
        <w:t>2.5  “</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80" w:lineRule="exact"/>
        <w:rPr>
          <w:rFonts w:ascii="Arial" w:cs="Arial" w:eastAsia="Arial" w:hAnsi="Arial"/>
          <w:sz w:val="16"/>
          <w:szCs w:val="16"/>
          <w:color w:val="auto"/>
        </w:rPr>
      </w:pPr>
    </w:p>
    <w:p>
      <w:pPr>
        <w:ind w:left="364"/>
        <w:spacing w:after="0"/>
        <w:rPr>
          <w:rFonts w:ascii="Arial" w:cs="Arial" w:eastAsia="Arial" w:hAnsi="Arial"/>
          <w:sz w:val="16"/>
          <w:szCs w:val="16"/>
          <w:color w:val="auto"/>
        </w:rPr>
      </w:pPr>
      <w:r>
        <w:rPr>
          <w:rFonts w:ascii="Arial" w:cs="Arial" w:eastAsia="Arial" w:hAnsi="Arial"/>
          <w:sz w:val="16"/>
          <w:szCs w:val="16"/>
          <w:color w:val="auto"/>
        </w:rPr>
        <w:t>2.6  “</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94" w:lineRule="exact"/>
        <w:rPr>
          <w:rFonts w:ascii="Arial" w:cs="Arial" w:eastAsia="Arial" w:hAnsi="Arial"/>
          <w:sz w:val="16"/>
          <w:szCs w:val="16"/>
          <w:color w:val="auto"/>
        </w:rPr>
      </w:pPr>
    </w:p>
    <w:p>
      <w:pPr>
        <w:ind w:left="1064" w:hanging="344"/>
        <w:spacing w:after="0" w:line="249" w:lineRule="auto"/>
        <w:tabs>
          <w:tab w:leader="none" w:pos="1064"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Change in Ownership of the Company</w:t>
      </w:r>
      <w:r>
        <w:rPr>
          <w:rFonts w:ascii="Arial" w:cs="Arial" w:eastAsia="Arial" w:hAnsi="Arial"/>
          <w:sz w:val="16"/>
          <w:szCs w:val="16"/>
          <w:color w:val="auto"/>
        </w:rPr>
        <w:t>. A change in the ownership of the Company which occurs on the date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one person, or more than one person acting as a group (“</w:t>
      </w:r>
      <w:r>
        <w:rPr>
          <w:rFonts w:ascii="Arial" w:cs="Arial" w:eastAsia="Arial" w:hAnsi="Arial"/>
          <w:sz w:val="16"/>
          <w:szCs w:val="16"/>
          <w:b w:val="1"/>
          <w:bCs w:val="1"/>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prior to such additional acquisition,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9" w:lineRule="exact"/>
        <w:rPr>
          <w:rFonts w:ascii="Arial" w:cs="Arial" w:eastAsia="Arial" w:hAnsi="Arial"/>
          <w:sz w:val="16"/>
          <w:szCs w:val="16"/>
          <w:color w:val="auto"/>
        </w:rPr>
      </w:pPr>
    </w:p>
    <w:p>
      <w:pPr>
        <w:ind w:left="1064" w:right="20" w:hanging="344"/>
        <w:spacing w:after="0" w:line="254" w:lineRule="auto"/>
        <w:tabs>
          <w:tab w:leader="none" w:pos="1064"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Change in Effective Control of the Company</w:t>
      </w:r>
      <w:r>
        <w:rPr>
          <w:rFonts w:ascii="Arial" w:cs="Arial" w:eastAsia="Arial" w:hAnsi="Arial"/>
          <w:sz w:val="16"/>
          <w:szCs w:val="16"/>
          <w:color w:val="auto"/>
        </w:rPr>
        <w:t>. If the Company has a class of securities registered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193040</wp:posOffset>
            </wp:positionV>
            <wp:extent cx="62611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192405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188" w:right="117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1060" w:hanging="344"/>
        <w:spacing w:after="0" w:line="248"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Change in Ownership of a Substantial Portion of the Company’s Assets</w:t>
      </w:r>
      <w:r>
        <w:rPr>
          <w:rFonts w:ascii="Arial" w:cs="Arial" w:eastAsia="Arial" w:hAnsi="Arial"/>
          <w:sz w:val="16"/>
          <w:szCs w:val="16"/>
          <w:color w:val="auto"/>
        </w:rPr>
        <w:t>. A change in the ownership of a</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w:t>
      </w:r>
    </w:p>
    <w:p>
      <w:pPr>
        <w:spacing w:after="0" w:line="4" w:lineRule="exact"/>
        <w:rPr>
          <w:rFonts w:ascii="Arial" w:cs="Arial" w:eastAsia="Arial" w:hAnsi="Arial"/>
          <w:sz w:val="16"/>
          <w:szCs w:val="16"/>
          <w:color w:val="auto"/>
        </w:rPr>
      </w:pPr>
    </w:p>
    <w:p>
      <w:pPr>
        <w:ind w:left="1060" w:right="40"/>
        <w:spacing w:after="0" w:line="251" w:lineRule="auto"/>
        <w:rPr>
          <w:rFonts w:ascii="Arial" w:cs="Arial" w:eastAsia="Arial" w:hAnsi="Arial"/>
          <w:sz w:val="16"/>
          <w:szCs w:val="16"/>
          <w:color w:val="auto"/>
        </w:rPr>
      </w:pPr>
      <w:r>
        <w:rPr>
          <w:rFonts w:ascii="Arial" w:cs="Arial" w:eastAsia="Arial" w:hAnsi="Arial"/>
          <w:sz w:val="16"/>
          <w:szCs w:val="16"/>
          <w:color w:val="auto"/>
        </w:rPr>
        <w:t>(C)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42" w:lineRule="exact"/>
        <w:rPr>
          <w:sz w:val="20"/>
          <w:szCs w:val="20"/>
          <w:color w:val="auto"/>
        </w:rPr>
      </w:pPr>
    </w:p>
    <w:p>
      <w:pPr>
        <w:ind w:left="720" w:right="220"/>
        <w:spacing w:after="0" w:line="286" w:lineRule="auto"/>
        <w:rPr>
          <w:sz w:val="20"/>
          <w:szCs w:val="20"/>
          <w:color w:val="auto"/>
        </w:rPr>
      </w:pPr>
      <w:r>
        <w:rPr>
          <w:rFonts w:ascii="Arial" w:cs="Arial" w:eastAsia="Arial" w:hAnsi="Arial"/>
          <w:sz w:val="16"/>
          <w:szCs w:val="16"/>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29" w:lineRule="exact"/>
        <w:rPr>
          <w:sz w:val="20"/>
          <w:szCs w:val="20"/>
          <w:color w:val="auto"/>
        </w:rPr>
      </w:pPr>
    </w:p>
    <w:p>
      <w:pPr>
        <w:ind w:left="720" w:right="200"/>
        <w:spacing w:after="0" w:line="286"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Section 409A.</w:t>
      </w:r>
    </w:p>
    <w:p>
      <w:pPr>
        <w:spacing w:after="0" w:line="115"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37" w:lineRule="exact"/>
        <w:rPr>
          <w:sz w:val="20"/>
          <w:szCs w:val="20"/>
          <w:color w:val="auto"/>
        </w:rPr>
      </w:pPr>
    </w:p>
    <w:p>
      <w:pPr>
        <w:ind w:left="700" w:right="320" w:hanging="350"/>
        <w:spacing w:after="0" w:line="259" w:lineRule="auto"/>
        <w:rPr>
          <w:sz w:val="20"/>
          <w:szCs w:val="20"/>
          <w:color w:val="auto"/>
        </w:rPr>
      </w:pPr>
      <w:r>
        <w:rPr>
          <w:rFonts w:ascii="Arial" w:cs="Arial" w:eastAsia="Arial" w:hAnsi="Arial"/>
          <w:sz w:val="16"/>
          <w:szCs w:val="16"/>
          <w:color w:val="auto"/>
        </w:rPr>
        <w:t>2.7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51" w:lineRule="exact"/>
        <w:rPr>
          <w:sz w:val="20"/>
          <w:szCs w:val="20"/>
          <w:color w:val="auto"/>
        </w:rPr>
      </w:pPr>
    </w:p>
    <w:p>
      <w:pPr>
        <w:ind w:left="700" w:right="100" w:hanging="350"/>
        <w:spacing w:after="0" w:line="286" w:lineRule="auto"/>
        <w:rPr>
          <w:sz w:val="20"/>
          <w:szCs w:val="20"/>
          <w:color w:val="auto"/>
        </w:rPr>
      </w:pPr>
      <w:r>
        <w:rPr>
          <w:rFonts w:ascii="Arial" w:cs="Arial" w:eastAsia="Arial" w:hAnsi="Arial"/>
          <w:sz w:val="16"/>
          <w:szCs w:val="16"/>
          <w:color w:val="auto"/>
        </w:rPr>
        <w:t>2.8 “</w:t>
      </w:r>
      <w:r>
        <w:rPr>
          <w:rFonts w:ascii="Arial" w:cs="Arial" w:eastAsia="Arial" w:hAnsi="Arial"/>
          <w:sz w:val="16"/>
          <w:szCs w:val="16"/>
          <w:b w:val="1"/>
          <w:bCs w:val="1"/>
          <w:color w:val="auto"/>
        </w:rPr>
        <w:t>Committee</w:t>
      </w:r>
      <w:r>
        <w:rPr>
          <w:rFonts w:ascii="Arial" w:cs="Arial" w:eastAsia="Arial" w:hAnsi="Arial"/>
          <w:sz w:val="16"/>
          <w:szCs w:val="16"/>
          <w:color w:val="auto"/>
        </w:rPr>
        <w:t>” means a committee of Directors or of other individuals satisfying Applicable Laws appointed by the Board, or by a duly authorized committee of the Board, in accordance with Section 4.</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2.9  “</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2.10 “</w:t>
      </w:r>
      <w:r>
        <w:rPr>
          <w:rFonts w:ascii="Arial" w:cs="Arial" w:eastAsia="Arial" w:hAnsi="Arial"/>
          <w:sz w:val="16"/>
          <w:szCs w:val="16"/>
          <w:b w:val="1"/>
          <w:bCs w:val="1"/>
          <w:color w:val="auto"/>
        </w:rPr>
        <w:t>Company</w:t>
      </w:r>
      <w:r>
        <w:rPr>
          <w:rFonts w:ascii="Arial" w:cs="Arial" w:eastAsia="Arial" w:hAnsi="Arial"/>
          <w:sz w:val="16"/>
          <w:szCs w:val="16"/>
          <w:color w:val="auto"/>
        </w:rPr>
        <w:t>” means Harmonic Inc., a Delaware corporation, or any successor thereto.</w:t>
      </w:r>
    </w:p>
    <w:p>
      <w:pPr>
        <w:spacing w:after="0" w:line="194" w:lineRule="exact"/>
        <w:rPr>
          <w:sz w:val="20"/>
          <w:szCs w:val="20"/>
          <w:color w:val="auto"/>
        </w:rPr>
      </w:pPr>
    </w:p>
    <w:p>
      <w:pPr>
        <w:ind w:left="700" w:right="20" w:hanging="350"/>
        <w:spacing w:after="0" w:line="254"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including an advisor, engaged by the Company or any of its Parents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2.12 “</w:t>
      </w:r>
      <w:r>
        <w:rPr>
          <w:rFonts w:ascii="Arial" w:cs="Arial" w:eastAsia="Arial" w:hAnsi="Arial"/>
          <w:sz w:val="16"/>
          <w:szCs w:val="16"/>
          <w:b w:val="1"/>
          <w:bCs w:val="1"/>
          <w:color w:val="auto"/>
        </w:rPr>
        <w:t>Director</w:t>
      </w:r>
      <w:r>
        <w:rPr>
          <w:rFonts w:ascii="Arial" w:cs="Arial" w:eastAsia="Arial" w:hAnsi="Arial"/>
          <w:sz w:val="16"/>
          <w:szCs w:val="16"/>
          <w:color w:val="auto"/>
        </w:rPr>
        <w:t>” means a member of the Board.</w:t>
      </w:r>
    </w:p>
    <w:p>
      <w:pPr>
        <w:spacing w:after="0" w:line="181" w:lineRule="exact"/>
        <w:rPr>
          <w:sz w:val="20"/>
          <w:szCs w:val="20"/>
          <w:color w:val="auto"/>
        </w:rPr>
      </w:pPr>
    </w:p>
    <w:p>
      <w:pPr>
        <w:ind w:left="700" w:right="120" w:hanging="350"/>
        <w:spacing w:after="0" w:line="25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b w:val="1"/>
          <w:bCs w:val="1"/>
          <w:color w:val="auto"/>
        </w:rPr>
        <w:t>Disability</w:t>
      </w:r>
      <w:r>
        <w:rPr>
          <w:rFonts w:ascii="Arial" w:cs="Arial" w:eastAsia="Arial" w:hAnsi="Arial"/>
          <w:sz w:val="16"/>
          <w:szCs w:val="16"/>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51" w:lineRule="exact"/>
        <w:rPr>
          <w:sz w:val="20"/>
          <w:szCs w:val="20"/>
          <w:color w:val="auto"/>
        </w:rPr>
      </w:pPr>
    </w:p>
    <w:p>
      <w:pPr>
        <w:ind w:left="700" w:right="120" w:hanging="350"/>
        <w:spacing w:after="0" w:line="266"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including Officers and Inside Directors, employed by the Company or any Parent or Subsidiary of the Company. Neither service as a Director nor payment of a Director’s fee by the Company will be sufficient to constitute “employment” by the Company.</w:t>
      </w:r>
    </w:p>
    <w:p>
      <w:pPr>
        <w:spacing w:after="0" w:line="131" w:lineRule="exact"/>
        <w:rPr>
          <w:sz w:val="20"/>
          <w:szCs w:val="20"/>
          <w:color w:val="auto"/>
        </w:rPr>
      </w:pPr>
    </w:p>
    <w:p>
      <w:pPr>
        <w:ind w:left="700" w:right="600" w:hanging="350"/>
        <w:spacing w:after="0" w:line="286"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color w:val="auto"/>
        </w:rPr>
        <w:t>Exchange Act</w:t>
      </w:r>
      <w:r>
        <w:rPr>
          <w:rFonts w:ascii="Arial" w:cs="Arial" w:eastAsia="Arial" w:hAnsi="Arial"/>
          <w:sz w:val="16"/>
          <w:szCs w:val="16"/>
          <w:color w:val="auto"/>
        </w:rPr>
        <w:t>” means the U.S. Securities Exchange Act of 1934, as amended, including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176530</wp:posOffset>
            </wp:positionV>
            <wp:extent cx="625475"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5475" cy="19748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192405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25" w:right="1179" w:bottom="1440" w:gutter="0" w:footer="0" w:header="0"/>
        </w:sectPr>
      </w:pPr>
    </w:p>
    <w:bookmarkStart w:id="6" w:name="page7"/>
    <w:bookmarkEnd w:id="6"/>
    <w:p>
      <w:pPr>
        <w:ind w:left="8660"/>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700" w:right="20" w:hanging="350"/>
        <w:spacing w:after="0" w:line="256"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b w:val="1"/>
          <w:bCs w:val="1"/>
          <w:color w:val="auto"/>
        </w:rPr>
        <w:t>Exchange Program</w:t>
      </w:r>
      <w:r>
        <w:rPr>
          <w:rFonts w:ascii="Arial" w:cs="Arial" w:eastAsia="Arial" w:hAnsi="Arial"/>
          <w:sz w:val="16"/>
          <w:szCs w:val="16"/>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The Administrator will not implement any Exchange Program under the Plan.</w:t>
      </w:r>
    </w:p>
    <w:p>
      <w:pPr>
        <w:spacing w:after="0" w:line="139" w:lineRule="exact"/>
        <w:rPr>
          <w:sz w:val="20"/>
          <w:szCs w:val="20"/>
          <w:color w:val="auto"/>
        </w:rPr>
      </w:pPr>
    </w:p>
    <w:p>
      <w:pPr>
        <w:ind w:left="700" w:right="560" w:hanging="350"/>
        <w:spacing w:after="0" w:line="286"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and unless the Administrator determines otherwise, the value of a Share determined as follows:</w:t>
      </w:r>
    </w:p>
    <w:p>
      <w:pPr>
        <w:spacing w:after="0" w:line="129" w:lineRule="exact"/>
        <w:rPr>
          <w:sz w:val="20"/>
          <w:szCs w:val="20"/>
          <w:color w:val="auto"/>
        </w:rPr>
      </w:pPr>
    </w:p>
    <w:p>
      <w:pPr>
        <w:ind w:left="1060" w:right="40" w:hanging="344"/>
        <w:spacing w:after="0" w:line="254"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41" w:lineRule="exact"/>
        <w:rPr>
          <w:rFonts w:ascii="Arial" w:cs="Arial" w:eastAsia="Arial" w:hAnsi="Arial"/>
          <w:sz w:val="16"/>
          <w:szCs w:val="16"/>
          <w:color w:val="auto"/>
        </w:rPr>
      </w:pPr>
    </w:p>
    <w:p>
      <w:pPr>
        <w:ind w:left="1060" w:right="60" w:hanging="344"/>
        <w:spacing w:after="0" w:line="256"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39" w:lineRule="exact"/>
        <w:rPr>
          <w:rFonts w:ascii="Arial" w:cs="Arial" w:eastAsia="Arial" w:hAnsi="Arial"/>
          <w:sz w:val="16"/>
          <w:szCs w:val="16"/>
          <w:color w:val="auto"/>
        </w:rPr>
      </w:pPr>
    </w:p>
    <w:p>
      <w:pPr>
        <w:ind w:left="1060" w:right="60" w:hanging="344"/>
        <w:spacing w:after="0" w:line="286"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 Administrator.</w:t>
      </w:r>
    </w:p>
    <w:p>
      <w:pPr>
        <w:spacing w:after="0" w:line="12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2.18 “</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81" w:lineRule="exact"/>
        <w:rPr>
          <w:sz w:val="20"/>
          <w:szCs w:val="20"/>
          <w:color w:val="auto"/>
        </w:rPr>
      </w:pPr>
    </w:p>
    <w:p>
      <w:pPr>
        <w:ind w:left="700" w:right="180" w:hanging="350"/>
        <w:spacing w:after="0" w:line="286"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b w:val="1"/>
          <w:bCs w:val="1"/>
          <w:color w:val="auto"/>
        </w:rPr>
        <w:t>Incentive Stock Option</w:t>
      </w:r>
      <w:r>
        <w:rPr>
          <w:rFonts w:ascii="Arial" w:cs="Arial" w:eastAsia="Arial" w:hAnsi="Arial"/>
          <w:sz w:val="16"/>
          <w:szCs w:val="16"/>
          <w:color w:val="auto"/>
        </w:rPr>
        <w:t>” means an Option that by its terms qualifies and is otherwise intended to qualify as an incentive stock option within the meaning of Code Section 422 and the regulations promulgated thereunder.</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b w:val="1"/>
          <w:bCs w:val="1"/>
          <w:color w:val="auto"/>
        </w:rPr>
        <w:t>Inside Director</w:t>
      </w:r>
      <w:r>
        <w:rPr>
          <w:rFonts w:ascii="Arial" w:cs="Arial" w:eastAsia="Arial" w:hAnsi="Arial"/>
          <w:sz w:val="16"/>
          <w:szCs w:val="16"/>
          <w:color w:val="auto"/>
        </w:rPr>
        <w:t>” means a Director who is an Employee.</w:t>
      </w:r>
    </w:p>
    <w:p>
      <w:pPr>
        <w:spacing w:after="0" w:line="181" w:lineRule="exact"/>
        <w:rPr>
          <w:sz w:val="20"/>
          <w:szCs w:val="20"/>
          <w:color w:val="auto"/>
        </w:rPr>
      </w:pPr>
    </w:p>
    <w:p>
      <w:pPr>
        <w:ind w:left="700" w:right="620" w:hanging="350"/>
        <w:spacing w:after="0" w:line="286"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b w:val="1"/>
          <w:bCs w:val="1"/>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115" w:lineRule="exact"/>
        <w:rPr>
          <w:sz w:val="20"/>
          <w:szCs w:val="20"/>
          <w:color w:val="auto"/>
        </w:rPr>
      </w:pPr>
    </w:p>
    <w:p>
      <w:pPr>
        <w:ind w:left="700" w:right="140" w:hanging="350"/>
        <w:spacing w:after="0" w:line="286" w:lineRule="auto"/>
        <w:rPr>
          <w:sz w:val="20"/>
          <w:szCs w:val="20"/>
          <w:color w:val="auto"/>
        </w:rPr>
      </w:pPr>
      <w:r>
        <w:rPr>
          <w:rFonts w:ascii="Arial" w:cs="Arial" w:eastAsia="Arial" w:hAnsi="Arial"/>
          <w:sz w:val="16"/>
          <w:szCs w:val="16"/>
          <w:color w:val="auto"/>
        </w:rPr>
        <w:t>2.22 “</w:t>
      </w:r>
      <w:r>
        <w:rPr>
          <w:rFonts w:ascii="Arial" w:cs="Arial" w:eastAsia="Arial" w:hAnsi="Arial"/>
          <w:sz w:val="16"/>
          <w:szCs w:val="16"/>
          <w:b w:val="1"/>
          <w:bCs w:val="1"/>
          <w:color w:val="auto"/>
        </w:rPr>
        <w:t>Officer</w:t>
      </w:r>
      <w:r>
        <w:rPr>
          <w:rFonts w:ascii="Arial" w:cs="Arial" w:eastAsia="Arial" w:hAnsi="Arial"/>
          <w:sz w:val="16"/>
          <w:szCs w:val="16"/>
          <w:color w:val="auto"/>
        </w:rPr>
        <w:t>” means a person who is an officer of the Company within the meaning of Section 16 of the Exchange Act and the rules and regulations promulgated thereunder.</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2.23 “</w:t>
      </w:r>
      <w:r>
        <w:rPr>
          <w:rFonts w:ascii="Arial" w:cs="Arial" w:eastAsia="Arial" w:hAnsi="Arial"/>
          <w:sz w:val="16"/>
          <w:szCs w:val="16"/>
          <w:b w:val="1"/>
          <w:bCs w:val="1"/>
          <w:color w:val="auto"/>
        </w:rPr>
        <w:t>Option</w:t>
      </w:r>
      <w:r>
        <w:rPr>
          <w:rFonts w:ascii="Arial" w:cs="Arial" w:eastAsia="Arial" w:hAnsi="Arial"/>
          <w:sz w:val="16"/>
          <w:szCs w:val="16"/>
          <w:color w:val="auto"/>
        </w:rPr>
        <w:t>” means a stock option granted pursuant to the Plan.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2.24 “</w:t>
      </w:r>
      <w:r>
        <w:rPr>
          <w:rFonts w:ascii="Arial" w:cs="Arial" w:eastAsia="Arial" w:hAnsi="Arial"/>
          <w:sz w:val="16"/>
          <w:szCs w:val="16"/>
          <w:b w:val="1"/>
          <w:bCs w:val="1"/>
          <w:color w:val="auto"/>
        </w:rPr>
        <w:t>Outside Director</w:t>
      </w:r>
      <w:r>
        <w:rPr>
          <w:rFonts w:ascii="Arial" w:cs="Arial" w:eastAsia="Arial" w:hAnsi="Arial"/>
          <w:sz w:val="16"/>
          <w:szCs w:val="16"/>
          <w:color w:val="auto"/>
        </w:rPr>
        <w:t>” means a Director who is not an Employee.</w:t>
      </w:r>
    </w:p>
    <w:p>
      <w:pPr>
        <w:spacing w:after="0" w:line="181" w:lineRule="exact"/>
        <w:rPr>
          <w:sz w:val="20"/>
          <w:szCs w:val="20"/>
          <w:color w:val="auto"/>
        </w:rPr>
      </w:pPr>
    </w:p>
    <w:p>
      <w:pPr>
        <w:ind w:left="700" w:right="680" w:hanging="350"/>
        <w:spacing w:after="0" w:line="286"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b w:val="1"/>
          <w:bCs w:val="1"/>
          <w:color w:val="auto"/>
        </w:rPr>
        <w:t>Parent</w:t>
      </w:r>
      <w:r>
        <w:rPr>
          <w:rFonts w:ascii="Arial" w:cs="Arial" w:eastAsia="Arial" w:hAnsi="Arial"/>
          <w:sz w:val="16"/>
          <w:szCs w:val="16"/>
          <w:color w:val="auto"/>
        </w:rPr>
        <w:t>” means a Section 424 Parent or any “parent,” whether now or hereafter existing, as defined in Rule 405 of Regulation C of the Securities Act.</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2.26 “</w:t>
      </w:r>
      <w:r>
        <w:rPr>
          <w:rFonts w:ascii="Arial" w:cs="Arial" w:eastAsia="Arial" w:hAnsi="Arial"/>
          <w:sz w:val="16"/>
          <w:szCs w:val="16"/>
          <w:b w:val="1"/>
          <w:bCs w:val="1"/>
          <w:color w:val="auto"/>
        </w:rPr>
        <w:t>Participant</w:t>
      </w:r>
      <w:r>
        <w:rPr>
          <w:rFonts w:ascii="Arial" w:cs="Arial" w:eastAsia="Arial" w:hAnsi="Arial"/>
          <w:sz w:val="16"/>
          <w:szCs w:val="16"/>
          <w:color w:val="auto"/>
        </w:rPr>
        <w:t>” means the holder of an outstanding Award.</w:t>
      </w:r>
    </w:p>
    <w:p>
      <w:pPr>
        <w:spacing w:after="0" w:line="181" w:lineRule="exact"/>
        <w:rPr>
          <w:sz w:val="20"/>
          <w:szCs w:val="20"/>
          <w:color w:val="auto"/>
        </w:rPr>
      </w:pPr>
    </w:p>
    <w:p>
      <w:pPr>
        <w:ind w:left="700" w:hanging="350"/>
        <w:spacing w:after="0" w:line="266" w:lineRule="auto"/>
        <w:rPr>
          <w:sz w:val="20"/>
          <w:szCs w:val="20"/>
          <w:color w:val="auto"/>
        </w:rPr>
      </w:pPr>
      <w:r>
        <w:rPr>
          <w:rFonts w:ascii="Arial" w:cs="Arial" w:eastAsia="Arial" w:hAnsi="Arial"/>
          <w:sz w:val="16"/>
          <w:szCs w:val="16"/>
          <w:color w:val="auto"/>
        </w:rPr>
        <w:t>2.27 “</w:t>
      </w:r>
      <w:r>
        <w:rPr>
          <w:rFonts w:ascii="Arial" w:cs="Arial" w:eastAsia="Arial" w:hAnsi="Arial"/>
          <w:sz w:val="16"/>
          <w:szCs w:val="16"/>
          <w:b w:val="1"/>
          <w:bCs w:val="1"/>
          <w:color w:val="auto"/>
        </w:rPr>
        <w:t>Performance Awards</w:t>
      </w:r>
      <w:r>
        <w:rPr>
          <w:rFonts w:ascii="Arial" w:cs="Arial" w:eastAsia="Arial" w:hAnsi="Arial"/>
          <w:sz w:val="16"/>
          <w:szCs w:val="16"/>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2.28 “</w:t>
      </w:r>
      <w:r>
        <w:rPr>
          <w:rFonts w:ascii="Arial" w:cs="Arial" w:eastAsia="Arial" w:hAnsi="Arial"/>
          <w:sz w:val="16"/>
          <w:szCs w:val="16"/>
          <w:b w:val="1"/>
          <w:bCs w:val="1"/>
          <w:color w:val="auto"/>
        </w:rPr>
        <w:t>Performance Period</w:t>
      </w:r>
      <w:r>
        <w:rPr>
          <w:rFonts w:ascii="Arial" w:cs="Arial" w:eastAsia="Arial" w:hAnsi="Arial"/>
          <w:sz w:val="16"/>
          <w:szCs w:val="16"/>
          <w:color w:val="auto"/>
        </w:rPr>
        <w:t>” means Performance Period as defined in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217805</wp:posOffset>
            </wp:positionV>
            <wp:extent cx="62611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200660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25" w:right="117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700" w:right="160" w:hanging="350"/>
        <w:spacing w:after="0" w:line="259"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b w:val="1"/>
          <w:bCs w:val="1"/>
          <w:color w:val="auto"/>
        </w:rPr>
        <w:t>Period of Restriction</w:t>
      </w:r>
      <w:r>
        <w:rPr>
          <w:rFonts w:ascii="Arial" w:cs="Arial" w:eastAsia="Arial" w:hAnsi="Arial"/>
          <w:sz w:val="16"/>
          <w:szCs w:val="16"/>
          <w:color w:val="auto"/>
        </w:rPr>
        <w:t>”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2.30 “</w:t>
      </w:r>
      <w:r>
        <w:rPr>
          <w:rFonts w:ascii="Arial" w:cs="Arial" w:eastAsia="Arial" w:hAnsi="Arial"/>
          <w:sz w:val="16"/>
          <w:szCs w:val="16"/>
          <w:b w:val="1"/>
          <w:bCs w:val="1"/>
          <w:color w:val="auto"/>
        </w:rPr>
        <w:t>Plan</w:t>
      </w:r>
      <w:r>
        <w:rPr>
          <w:rFonts w:ascii="Arial" w:cs="Arial" w:eastAsia="Arial" w:hAnsi="Arial"/>
          <w:sz w:val="16"/>
          <w:szCs w:val="16"/>
          <w:color w:val="auto"/>
        </w:rPr>
        <w:t>” means this Harmonic Inc. 2025 Equity Incentive Plan, as may be amended from time to time.</w:t>
      </w:r>
    </w:p>
    <w:p>
      <w:pPr>
        <w:spacing w:after="0" w:line="194" w:lineRule="exact"/>
        <w:rPr>
          <w:sz w:val="20"/>
          <w:szCs w:val="20"/>
          <w:color w:val="auto"/>
        </w:rPr>
      </w:pPr>
    </w:p>
    <w:p>
      <w:pPr>
        <w:ind w:left="700" w:right="120" w:hanging="350"/>
        <w:spacing w:after="0" w:line="286"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b w:val="1"/>
          <w:bCs w:val="1"/>
          <w:color w:val="auto"/>
        </w:rPr>
        <w:t>Restricted Stock</w:t>
      </w:r>
      <w:r>
        <w:rPr>
          <w:rFonts w:ascii="Arial" w:cs="Arial" w:eastAsia="Arial" w:hAnsi="Arial"/>
          <w:sz w:val="16"/>
          <w:szCs w:val="16"/>
          <w:color w:val="auto"/>
        </w:rPr>
        <w:t>” means Shares issued pursuant to an Award of Restricted Stock under Section 8 or issued pursuant to the early exercise of an Option.</w:t>
      </w:r>
    </w:p>
    <w:p>
      <w:pPr>
        <w:spacing w:after="0" w:line="115" w:lineRule="exact"/>
        <w:rPr>
          <w:sz w:val="20"/>
          <w:szCs w:val="20"/>
          <w:color w:val="auto"/>
        </w:rPr>
      </w:pPr>
    </w:p>
    <w:p>
      <w:pPr>
        <w:ind w:left="700" w:right="140" w:hanging="350"/>
        <w:spacing w:after="0" w:line="266"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 bookkeeping entry representing an amount equal to the fair market value of one Share, granted pursuant to Section 9. Each Restricted Stock Unit represents an unfunded and unsecured obligation of the Company.</w:t>
      </w:r>
    </w:p>
    <w:p>
      <w:pPr>
        <w:spacing w:after="0" w:line="131" w:lineRule="exact"/>
        <w:rPr>
          <w:sz w:val="20"/>
          <w:szCs w:val="20"/>
          <w:color w:val="auto"/>
        </w:rPr>
      </w:pPr>
    </w:p>
    <w:p>
      <w:pPr>
        <w:ind w:left="700" w:right="120" w:hanging="350"/>
        <w:spacing w:after="0" w:line="286"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b w:val="1"/>
          <w:bCs w:val="1"/>
          <w:color w:val="auto"/>
        </w:rPr>
        <w:t>Rule 16b-3</w:t>
      </w:r>
      <w:r>
        <w:rPr>
          <w:rFonts w:ascii="Arial" w:cs="Arial" w:eastAsia="Arial" w:hAnsi="Arial"/>
          <w:sz w:val="16"/>
          <w:szCs w:val="16"/>
          <w:color w:val="auto"/>
        </w:rPr>
        <w:t>” means Rule 16b-3 of the Exchange Act or any successor to Rule 16b-3, as in effect when discretion is being exercised with respect to the Plan.</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b w:val="1"/>
          <w:bCs w:val="1"/>
          <w:color w:val="auto"/>
        </w:rPr>
        <w:t>Section 16b</w:t>
      </w:r>
      <w:r>
        <w:rPr>
          <w:rFonts w:ascii="Arial" w:cs="Arial" w:eastAsia="Arial" w:hAnsi="Arial"/>
          <w:sz w:val="16"/>
          <w:szCs w:val="16"/>
          <w:color w:val="auto"/>
        </w:rPr>
        <w:t>” means Section 16(b) of the Exchange Act.</w:t>
      </w:r>
    </w:p>
    <w:p>
      <w:pPr>
        <w:spacing w:after="0" w:line="181" w:lineRule="exact"/>
        <w:rPr>
          <w:sz w:val="20"/>
          <w:szCs w:val="20"/>
          <w:color w:val="auto"/>
        </w:rPr>
      </w:pPr>
    </w:p>
    <w:p>
      <w:pPr>
        <w:ind w:left="700" w:right="700" w:hanging="350"/>
        <w:spacing w:after="0" w:line="286"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b w:val="1"/>
          <w:bCs w:val="1"/>
          <w:color w:val="auto"/>
        </w:rPr>
        <w:t>Section 409A</w:t>
      </w:r>
      <w:r>
        <w:rPr>
          <w:rFonts w:ascii="Arial" w:cs="Arial" w:eastAsia="Arial" w:hAnsi="Arial"/>
          <w:sz w:val="16"/>
          <w:szCs w:val="16"/>
          <w:color w:val="auto"/>
        </w:rPr>
        <w:t>” means Code Section 409A and the U.S. Treasury Regulations and guidance thereunder, and any applicable state law equivalent, as each may be promulgated, amended or modified from time to time.</w:t>
      </w:r>
    </w:p>
    <w:p>
      <w:pPr>
        <w:spacing w:after="0" w:line="115" w:lineRule="exact"/>
        <w:rPr>
          <w:sz w:val="20"/>
          <w:szCs w:val="20"/>
          <w:color w:val="auto"/>
        </w:rPr>
      </w:pPr>
    </w:p>
    <w:p>
      <w:pPr>
        <w:ind w:left="700" w:hanging="350"/>
        <w:spacing w:after="0" w:line="266" w:lineRule="auto"/>
        <w:rPr>
          <w:sz w:val="20"/>
          <w:szCs w:val="20"/>
          <w:color w:val="auto"/>
        </w:rPr>
      </w:pPr>
      <w:r>
        <w:rPr>
          <w:rFonts w:ascii="Arial" w:cs="Arial" w:eastAsia="Arial" w:hAnsi="Arial"/>
          <w:sz w:val="16"/>
          <w:szCs w:val="16"/>
          <w:color w:val="auto"/>
        </w:rPr>
        <w:t>2.36 “</w:t>
      </w:r>
      <w:r>
        <w:rPr>
          <w:rFonts w:ascii="Arial" w:cs="Arial" w:eastAsia="Arial" w:hAnsi="Arial"/>
          <w:sz w:val="16"/>
          <w:szCs w:val="16"/>
          <w:b w:val="1"/>
          <w:bCs w:val="1"/>
          <w:color w:val="auto"/>
        </w:rPr>
        <w:t>Section 424 Employee</w:t>
      </w:r>
      <w:r>
        <w:rPr>
          <w:rFonts w:ascii="Arial" w:cs="Arial" w:eastAsia="Arial" w:hAnsi="Arial"/>
          <w:sz w:val="16"/>
          <w:szCs w:val="16"/>
          <w:color w:val="auto"/>
        </w:rPr>
        <w:t>” means any person, including Officers and Inside Directors, employed by the Company or any Section 424 Parent or Section 424 Subsidiary of the Company. Neither service as a Director nor payment of a Director’s fee by the Company will be sufficient to constitute “employment” by the Company.</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2.37 “</w:t>
      </w:r>
      <w:r>
        <w:rPr>
          <w:rFonts w:ascii="Arial" w:cs="Arial" w:eastAsia="Arial" w:hAnsi="Arial"/>
          <w:sz w:val="16"/>
          <w:szCs w:val="16"/>
          <w:b w:val="1"/>
          <w:bCs w:val="1"/>
          <w:color w:val="auto"/>
        </w:rPr>
        <w:t>Section 424 Parent</w:t>
      </w:r>
      <w:r>
        <w:rPr>
          <w:rFonts w:ascii="Arial" w:cs="Arial" w:eastAsia="Arial" w:hAnsi="Arial"/>
          <w:sz w:val="16"/>
          <w:szCs w:val="16"/>
          <w:color w:val="auto"/>
        </w:rPr>
        <w:t>” means a “parent corporation,” whether now or hereafter existing, as defined in Code Section 424(e).</w:t>
      </w:r>
    </w:p>
    <w:p>
      <w:pPr>
        <w:spacing w:after="0" w:line="181" w:lineRule="exact"/>
        <w:rPr>
          <w:sz w:val="20"/>
          <w:szCs w:val="20"/>
          <w:color w:val="auto"/>
        </w:rPr>
      </w:pPr>
    </w:p>
    <w:p>
      <w:pPr>
        <w:ind w:left="700" w:right="620" w:hanging="350"/>
        <w:spacing w:after="0" w:line="286"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b w:val="1"/>
          <w:bCs w:val="1"/>
          <w:color w:val="auto"/>
        </w:rPr>
        <w:t>Section 424 Subsidiary</w:t>
      </w:r>
      <w:r>
        <w:rPr>
          <w:rFonts w:ascii="Arial" w:cs="Arial" w:eastAsia="Arial" w:hAnsi="Arial"/>
          <w:sz w:val="16"/>
          <w:szCs w:val="16"/>
          <w:color w:val="auto"/>
        </w:rPr>
        <w:t>” means a “subsidiary corporation,” whether now or hereafter existing, as defined in Code Section 424(f).</w:t>
      </w:r>
    </w:p>
    <w:p>
      <w:pPr>
        <w:spacing w:after="0" w:line="115" w:lineRule="exact"/>
        <w:rPr>
          <w:sz w:val="20"/>
          <w:szCs w:val="20"/>
          <w:color w:val="auto"/>
        </w:rPr>
      </w:pPr>
    </w:p>
    <w:p>
      <w:pPr>
        <w:ind w:left="700" w:right="380" w:hanging="350"/>
        <w:spacing w:after="0" w:line="286" w:lineRule="auto"/>
        <w:rPr>
          <w:sz w:val="20"/>
          <w:szCs w:val="20"/>
          <w:color w:val="auto"/>
        </w:rPr>
      </w:pPr>
      <w:r>
        <w:rPr>
          <w:rFonts w:ascii="Arial" w:cs="Arial" w:eastAsia="Arial" w:hAnsi="Arial"/>
          <w:sz w:val="16"/>
          <w:szCs w:val="16"/>
          <w:color w:val="auto"/>
        </w:rPr>
        <w:t>2.39 “</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 as amended, including the rules and regulations promulgated thereunder.</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2.40 “</w:t>
      </w:r>
      <w:r>
        <w:rPr>
          <w:rFonts w:ascii="Arial" w:cs="Arial" w:eastAsia="Arial" w:hAnsi="Arial"/>
          <w:sz w:val="16"/>
          <w:szCs w:val="16"/>
          <w:b w:val="1"/>
          <w:bCs w:val="1"/>
          <w:color w:val="auto"/>
        </w:rPr>
        <w:t>Service Provider</w:t>
      </w:r>
      <w:r>
        <w:rPr>
          <w:rFonts w:ascii="Arial" w:cs="Arial" w:eastAsia="Arial" w:hAnsi="Arial"/>
          <w:sz w:val="16"/>
          <w:szCs w:val="16"/>
          <w:color w:val="auto"/>
        </w:rPr>
        <w:t>” means an Employee, Director or Consultant.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2.41 “</w:t>
      </w:r>
      <w:r>
        <w:rPr>
          <w:rFonts w:ascii="Arial" w:cs="Arial" w:eastAsia="Arial" w:hAnsi="Arial"/>
          <w:sz w:val="16"/>
          <w:szCs w:val="16"/>
          <w:b w:val="1"/>
          <w:bCs w:val="1"/>
          <w:color w:val="auto"/>
        </w:rPr>
        <w:t>Share</w:t>
      </w:r>
      <w:r>
        <w:rPr>
          <w:rFonts w:ascii="Arial" w:cs="Arial" w:eastAsia="Arial" w:hAnsi="Arial"/>
          <w:sz w:val="16"/>
          <w:szCs w:val="16"/>
          <w:color w:val="auto"/>
        </w:rPr>
        <w:t>” means a share of the Common Stock, as adjusted in accordance with Section 14.</w:t>
      </w:r>
    </w:p>
    <w:p>
      <w:pPr>
        <w:spacing w:after="0" w:line="181" w:lineRule="exact"/>
        <w:rPr>
          <w:sz w:val="20"/>
          <w:szCs w:val="20"/>
          <w:color w:val="auto"/>
        </w:rPr>
      </w:pPr>
    </w:p>
    <w:p>
      <w:pPr>
        <w:ind w:left="700" w:right="80" w:hanging="350"/>
        <w:spacing w:after="0" w:line="286" w:lineRule="auto"/>
        <w:rPr>
          <w:sz w:val="20"/>
          <w:szCs w:val="20"/>
          <w:color w:val="auto"/>
        </w:rPr>
      </w:pPr>
      <w:r>
        <w:rPr>
          <w:rFonts w:ascii="Arial" w:cs="Arial" w:eastAsia="Arial" w:hAnsi="Arial"/>
          <w:sz w:val="16"/>
          <w:szCs w:val="16"/>
          <w:color w:val="auto"/>
        </w:rPr>
        <w:t>2.42 “</w:t>
      </w:r>
      <w:r>
        <w:rPr>
          <w:rFonts w:ascii="Arial" w:cs="Arial" w:eastAsia="Arial" w:hAnsi="Arial"/>
          <w:sz w:val="16"/>
          <w:szCs w:val="16"/>
          <w:b w:val="1"/>
          <w:bCs w:val="1"/>
          <w:color w:val="auto"/>
        </w:rPr>
        <w:t>Stock Appreciation Right</w:t>
      </w:r>
      <w:r>
        <w:rPr>
          <w:rFonts w:ascii="Arial" w:cs="Arial" w:eastAsia="Arial" w:hAnsi="Arial"/>
          <w:sz w:val="16"/>
          <w:szCs w:val="16"/>
          <w:color w:val="auto"/>
        </w:rPr>
        <w:t>” means an Award, granted alone or in connection with an Option, that pursuant to Section 7 is designated as a Stock Appreciation Right.</w:t>
      </w:r>
    </w:p>
    <w:p>
      <w:pPr>
        <w:spacing w:after="0" w:line="129" w:lineRule="exact"/>
        <w:rPr>
          <w:sz w:val="20"/>
          <w:szCs w:val="20"/>
          <w:color w:val="auto"/>
        </w:rPr>
      </w:pPr>
    </w:p>
    <w:p>
      <w:pPr>
        <w:ind w:left="700" w:right="660" w:hanging="350"/>
        <w:spacing w:after="0" w:line="286"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b w:val="1"/>
          <w:bCs w:val="1"/>
          <w:color w:val="auto"/>
        </w:rPr>
        <w:t>Subsidiary</w:t>
      </w:r>
      <w:r>
        <w:rPr>
          <w:rFonts w:ascii="Arial" w:cs="Arial" w:eastAsia="Arial" w:hAnsi="Arial"/>
          <w:sz w:val="16"/>
          <w:szCs w:val="16"/>
          <w:color w:val="auto"/>
        </w:rPr>
        <w:t>” means a Section 424 Subsidiary or any “subsidiary,” whether now or hereafter existing, as defined in Rule 405 of Regulation C of the Securities Act.</w:t>
      </w:r>
    </w:p>
    <w:p>
      <w:pPr>
        <w:spacing w:after="0" w:line="115" w:lineRule="exact"/>
        <w:rPr>
          <w:sz w:val="20"/>
          <w:szCs w:val="20"/>
          <w:color w:val="auto"/>
        </w:rPr>
      </w:pPr>
    </w:p>
    <w:p>
      <w:pPr>
        <w:ind w:left="700" w:right="40" w:hanging="350"/>
        <w:spacing w:after="0" w:line="266"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b w:val="1"/>
          <w:bCs w:val="1"/>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31" w:lineRule="exact"/>
        <w:rPr>
          <w:sz w:val="20"/>
          <w:szCs w:val="20"/>
          <w:color w:val="auto"/>
        </w:rPr>
      </w:pPr>
    </w:p>
    <w:p>
      <w:pPr>
        <w:ind w:left="700" w:right="20" w:hanging="350"/>
        <w:spacing w:after="0" w:line="259"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b w:val="1"/>
          <w:bCs w:val="1"/>
          <w:color w:val="auto"/>
        </w:rPr>
        <w:t>U.S. Treasury Regulations</w:t>
      </w:r>
      <w:r>
        <w:rPr>
          <w:rFonts w:ascii="Arial" w:cs="Arial" w:eastAsia="Arial" w:hAnsi="Arial"/>
          <w:sz w:val="16"/>
          <w:szCs w:val="16"/>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190500</wp:posOffset>
            </wp:positionV>
            <wp:extent cx="625475"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5475" cy="19748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192405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25" w:right="1199" w:bottom="1440" w:gutter="0" w:footer="0" w:header="0"/>
        </w:sectPr>
      </w:pPr>
    </w:p>
    <w:bookmarkStart w:id="8" w:name="page9"/>
    <w:bookmarkEnd w:id="8"/>
    <w:p>
      <w:pPr>
        <w:ind w:left="866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344" w:hanging="344"/>
        <w:spacing w:after="0"/>
        <w:tabs>
          <w:tab w:leader="none" w:pos="344"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tock</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ubject to the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6"/>
          <w:szCs w:val="16"/>
          <w:color w:val="auto"/>
        </w:rPr>
        <w:t>.</w:t>
      </w:r>
    </w:p>
    <w:p>
      <w:pPr>
        <w:spacing w:after="0" w:line="181" w:lineRule="exact"/>
        <w:rPr>
          <w:sz w:val="20"/>
          <w:szCs w:val="20"/>
          <w:color w:val="auto"/>
        </w:rPr>
      </w:pPr>
    </w:p>
    <w:p>
      <w:pPr>
        <w:ind w:left="704" w:right="180" w:hanging="350"/>
        <w:spacing w:after="0" w:line="25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Stock Subject to the Plan</w:t>
      </w:r>
      <w:r>
        <w:rPr>
          <w:rFonts w:ascii="Arial" w:cs="Arial" w:eastAsia="Arial" w:hAnsi="Arial"/>
          <w:sz w:val="16"/>
          <w:szCs w:val="16"/>
          <w:color w:val="auto"/>
        </w:rPr>
        <w:t>. Subject to adjustment upon changes in capitalization of the Company as provided in Section 14 and adjustment as any Shares return to the Plan under Section 3.2 below, the maximum aggregate number of Shares that may be subject to Awards and sold under the Plan will be equal to 3,000,000 Shares plus the sum of the following under this Section 3.1:</w:t>
      </w:r>
    </w:p>
    <w:p>
      <w:pPr>
        <w:spacing w:after="0" w:line="151" w:lineRule="exact"/>
        <w:rPr>
          <w:sz w:val="20"/>
          <w:szCs w:val="20"/>
          <w:color w:val="auto"/>
        </w:rPr>
      </w:pPr>
    </w:p>
    <w:p>
      <w:pPr>
        <w:ind w:left="1064" w:right="40" w:hanging="344"/>
        <w:spacing w:after="0" w:line="250" w:lineRule="auto"/>
        <w:tabs>
          <w:tab w:leader="none" w:pos="1064"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Remaining and Returning 1995 Plan Shares</w:t>
      </w:r>
      <w:r>
        <w:rPr>
          <w:rFonts w:ascii="Arial" w:cs="Arial" w:eastAsia="Arial" w:hAnsi="Arial"/>
          <w:sz w:val="16"/>
          <w:szCs w:val="16"/>
          <w:color w:val="auto"/>
        </w:rPr>
        <w:t>. (i) Any Shares that, as of immediately prior to the Effective Date,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reserved but (x) have not been issued pursuant to any awards granted under the Harmonic Inc. 1995 Stock Plan (the “</w:t>
      </w:r>
      <w:r>
        <w:rPr>
          <w:rFonts w:ascii="Arial" w:cs="Arial" w:eastAsia="Arial" w:hAnsi="Arial"/>
          <w:sz w:val="16"/>
          <w:szCs w:val="16"/>
          <w:b w:val="1"/>
          <w:bCs w:val="1"/>
          <w:color w:val="auto"/>
        </w:rPr>
        <w:t>1995 Plan</w:t>
      </w:r>
      <w:r>
        <w:rPr>
          <w:rFonts w:ascii="Arial" w:cs="Arial" w:eastAsia="Arial" w:hAnsi="Arial"/>
          <w:sz w:val="16"/>
          <w:szCs w:val="16"/>
          <w:color w:val="auto"/>
        </w:rPr>
        <w:t xml:space="preserve">”) and (y) are not subject to any awards granted thereunder, plus (ii) any Shares subject to awards granted under the 1995 Plan that, on or after the Effective Date, with respect to any options and stock appreciation rights, expire or become unexercisable without having been exercised in full, or with respect to any other types of awards under the 1995 Plan, are forfeited to or repurchased by the Company due to failure to vest, or are not issued under an award due to the award being paid out in cash rather than Shares; provided, however, that (A) Shares used to pay for the withholding tax related to the award or exercise price of the award under the 1995 Plan will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become available pursuant to the preceding clause (ii) in this subsection (a), and (B) the maximum number of Shares to be added to the Plan pursuant to clauses (i) and (ii) in this subsection (a) shall not exceed 10,735,358 Shares; plus</w:t>
      </w:r>
    </w:p>
    <w:p>
      <w:pPr>
        <w:spacing w:after="0" w:line="148" w:lineRule="exact"/>
        <w:rPr>
          <w:rFonts w:ascii="Arial" w:cs="Arial" w:eastAsia="Arial" w:hAnsi="Arial"/>
          <w:sz w:val="16"/>
          <w:szCs w:val="16"/>
          <w:color w:val="auto"/>
        </w:rPr>
      </w:pPr>
    </w:p>
    <w:p>
      <w:pPr>
        <w:ind w:left="1064" w:right="20" w:hanging="344"/>
        <w:spacing w:after="0" w:line="250" w:lineRule="auto"/>
        <w:tabs>
          <w:tab w:leader="none" w:pos="1064"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Remaining and Returning Director Plan Shares</w:t>
      </w:r>
      <w:r>
        <w:rPr>
          <w:rFonts w:ascii="Arial" w:cs="Arial" w:eastAsia="Arial" w:hAnsi="Arial"/>
          <w:sz w:val="16"/>
          <w:szCs w:val="16"/>
          <w:color w:val="auto"/>
        </w:rPr>
        <w:t>. (i) 261,340 Shares (which is intended to reflect any Shares that,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date of termination of the Harmonic Inc. 2002 Director Stock Plan (the “</w:t>
      </w:r>
      <w:r>
        <w:rPr>
          <w:rFonts w:ascii="Arial" w:cs="Arial" w:eastAsia="Arial" w:hAnsi="Arial"/>
          <w:sz w:val="16"/>
          <w:szCs w:val="16"/>
          <w:b w:val="1"/>
          <w:bCs w:val="1"/>
          <w:color w:val="auto"/>
        </w:rPr>
        <w:t>Director Plan</w:t>
      </w:r>
      <w:r>
        <w:rPr>
          <w:rFonts w:ascii="Arial" w:cs="Arial" w:eastAsia="Arial" w:hAnsi="Arial"/>
          <w:sz w:val="16"/>
          <w:szCs w:val="16"/>
          <w:color w:val="auto"/>
        </w:rPr>
        <w:t>,” and together with the 1995 Plan, the “</w:t>
      </w:r>
      <w:r>
        <w:rPr>
          <w:rFonts w:ascii="Arial" w:cs="Arial" w:eastAsia="Arial" w:hAnsi="Arial"/>
          <w:sz w:val="16"/>
          <w:szCs w:val="16"/>
          <w:b w:val="1"/>
          <w:bCs w:val="1"/>
          <w:color w:val="auto"/>
        </w:rPr>
        <w:t>Prior Plans</w:t>
      </w:r>
      <w:r>
        <w:rPr>
          <w:rFonts w:ascii="Arial" w:cs="Arial" w:eastAsia="Arial" w:hAnsi="Arial"/>
          <w:sz w:val="16"/>
          <w:szCs w:val="16"/>
          <w:color w:val="auto"/>
        </w:rPr>
        <w:t xml:space="preserve">”), had been reserved but (x) had not been issued pursuant to any awards granted under the Director Plan and (y) were not subject to any awards granted thereunder); plus (ii) any Shares subject to awards granted under the Director Plan that, after the Director Plan terminates, with respect to any options, expire or become unexercisable without having been exercised in full, or with respect to any restricted stock units, are forfeited to the Company due to failure to vest; provided, however, that (A) Shares used to pay for the withholding tax related to the award or exercise price of the award under the Director Plan will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become available pursuant to the preceding clause (ii) in this subsection (b), and (B) the maximum number of Shares to be added to the Plan pursuant to clause (ii) in this subsection (b) shall not exceed 278,979 Shares.</w:t>
      </w:r>
    </w:p>
    <w:p>
      <w:pPr>
        <w:spacing w:after="0" w:line="149" w:lineRule="exact"/>
        <w:rPr>
          <w:sz w:val="20"/>
          <w:szCs w:val="20"/>
          <w:color w:val="auto"/>
        </w:rPr>
      </w:pPr>
    </w:p>
    <w:p>
      <w:pPr>
        <w:ind w:left="4" w:right="360"/>
        <w:spacing w:after="0" w:line="286" w:lineRule="auto"/>
        <w:rPr>
          <w:sz w:val="20"/>
          <w:szCs w:val="20"/>
          <w:color w:val="auto"/>
        </w:rPr>
      </w:pPr>
      <w:r>
        <w:rPr>
          <w:rFonts w:ascii="Arial" w:cs="Arial" w:eastAsia="Arial" w:hAnsi="Arial"/>
          <w:sz w:val="16"/>
          <w:szCs w:val="16"/>
          <w:color w:val="auto"/>
        </w:rPr>
        <w:t>In addition, Shares may become available for issuance under Section 3.2. The Shares may be authorized but unissued Common Stock or reacquired Common Stock.</w:t>
      </w:r>
    </w:p>
    <w:p>
      <w:pPr>
        <w:spacing w:after="0" w:line="129" w:lineRule="exact"/>
        <w:rPr>
          <w:sz w:val="20"/>
          <w:szCs w:val="20"/>
          <w:color w:val="auto"/>
        </w:rPr>
      </w:pPr>
    </w:p>
    <w:p>
      <w:pPr>
        <w:ind w:left="704" w:hanging="350"/>
        <w:spacing w:after="0" w:line="24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Lapsed Awards</w:t>
      </w:r>
      <w:r>
        <w:rPr>
          <w:rFonts w:ascii="Arial" w:cs="Arial" w:eastAsia="Arial" w:hAnsi="Arial"/>
          <w:sz w:val="16"/>
          <w:szCs w:val="16"/>
          <w:color w:val="auto"/>
        </w:rPr>
        <w:t xml:space="preserve">.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exercised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become available for future grant or sale under the Plan. To the extent an Award under the Plan is paid out in cash rather than Shares, such cash payment will not result in reducing the number of Shares available for issuance under the Plan.</w:t>
      </w:r>
    </w:p>
    <w:p>
      <w:pPr>
        <w:spacing w:after="0" w:line="147" w:lineRule="exact"/>
        <w:rPr>
          <w:sz w:val="20"/>
          <w:szCs w:val="20"/>
          <w:color w:val="auto"/>
        </w:rPr>
      </w:pPr>
    </w:p>
    <w:p>
      <w:pPr>
        <w:ind w:left="704" w:right="240" w:hanging="350"/>
        <w:spacing w:after="0" w:line="25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Incentive Stock Options</w:t>
      </w:r>
      <w:r>
        <w:rPr>
          <w:rFonts w:ascii="Arial" w:cs="Arial" w:eastAsia="Arial" w:hAnsi="Arial"/>
          <w:sz w:val="16"/>
          <w:szCs w:val="16"/>
          <w:color w:val="auto"/>
        </w:rPr>
        <w:t>. Notwithstanding the foregoing and, subject to adjustment as provided in Section 14,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p>
    <w:p>
      <w:pPr>
        <w:spacing w:after="0" w:line="139" w:lineRule="exact"/>
        <w:rPr>
          <w:sz w:val="20"/>
          <w:szCs w:val="20"/>
          <w:color w:val="auto"/>
        </w:rPr>
      </w:pPr>
    </w:p>
    <w:p>
      <w:pPr>
        <w:ind w:left="704" w:right="360" w:hanging="350"/>
        <w:spacing w:after="0" w:line="28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Share Reserve</w:t>
      </w:r>
      <w:r>
        <w:rPr>
          <w:rFonts w:ascii="Arial" w:cs="Arial" w:eastAsia="Arial" w:hAnsi="Arial"/>
          <w:sz w:val="16"/>
          <w:szCs w:val="16"/>
          <w:color w:val="auto"/>
        </w:rPr>
        <w:t>. The Company, during the term of the Plan, will at all times reserve and keep available such number of Shares as will be sufficient to satisfy the requirements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176530</wp:posOffset>
            </wp:positionV>
            <wp:extent cx="62611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200660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9" w:name="page10"/>
    <w:bookmarkEnd w:id="9"/>
    <w:p>
      <w:pPr>
        <w:ind w:left="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344" w:hanging="344"/>
        <w:spacing w:after="0"/>
        <w:tabs>
          <w:tab w:leader="none" w:pos="344"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dministration of the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6"/>
          <w:szCs w:val="16"/>
          <w:color w:val="auto"/>
        </w:rPr>
        <w:t>.</w:t>
      </w:r>
    </w:p>
    <w:p>
      <w:pPr>
        <w:spacing w:after="0" w:line="181" w:lineRule="exact"/>
        <w:rPr>
          <w:sz w:val="20"/>
          <w:szCs w:val="20"/>
          <w:color w:val="auto"/>
        </w:rPr>
      </w:pPr>
    </w:p>
    <w:p>
      <w:pPr>
        <w:ind w:left="364"/>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Procedure</w:t>
      </w:r>
      <w:r>
        <w:rPr>
          <w:rFonts w:ascii="Arial" w:cs="Arial" w:eastAsia="Arial" w:hAnsi="Arial"/>
          <w:sz w:val="16"/>
          <w:szCs w:val="16"/>
          <w:color w:val="auto"/>
        </w:rPr>
        <w:t>.</w:t>
      </w:r>
    </w:p>
    <w:p>
      <w:pPr>
        <w:spacing w:after="0" w:line="194" w:lineRule="exact"/>
        <w:rPr>
          <w:sz w:val="20"/>
          <w:szCs w:val="20"/>
          <w:color w:val="auto"/>
        </w:rPr>
      </w:pPr>
    </w:p>
    <w:p>
      <w:pPr>
        <w:ind w:left="1264" w:right="200" w:hanging="539"/>
        <w:spacing w:after="0" w:line="286" w:lineRule="auto"/>
        <w:tabs>
          <w:tab w:leader="none" w:pos="1244"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6"/>
          <w:szCs w:val="16"/>
          <w:b w:val="1"/>
          <w:bCs w:val="1"/>
          <w:color w:val="auto"/>
        </w:rPr>
        <w:t>Multiple Administrative Bodies</w:t>
      </w:r>
      <w:r>
        <w:rPr>
          <w:rFonts w:ascii="Arial" w:cs="Arial" w:eastAsia="Arial" w:hAnsi="Arial"/>
          <w:sz w:val="16"/>
          <w:szCs w:val="16"/>
          <w:color w:val="auto"/>
        </w:rPr>
        <w:t>. Different Committees with respect to different groups of Service Providers may</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the Plan.</w:t>
      </w:r>
    </w:p>
    <w:p>
      <w:pPr>
        <w:spacing w:after="0" w:line="115" w:lineRule="exact"/>
        <w:rPr>
          <w:sz w:val="20"/>
          <w:szCs w:val="20"/>
          <w:color w:val="auto"/>
        </w:rPr>
      </w:pPr>
    </w:p>
    <w:p>
      <w:pPr>
        <w:ind w:left="1264" w:right="20" w:hanging="539"/>
        <w:spacing w:after="0" w:line="286" w:lineRule="auto"/>
        <w:tabs>
          <w:tab w:leader="none" w:pos="1244"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6"/>
          <w:szCs w:val="16"/>
          <w:b w:val="1"/>
          <w:bCs w:val="1"/>
          <w:color w:val="auto"/>
        </w:rPr>
        <w:t>Rule 16b-3</w:t>
      </w:r>
      <w:r>
        <w:rPr>
          <w:rFonts w:ascii="Arial" w:cs="Arial" w:eastAsia="Arial" w:hAnsi="Arial"/>
          <w:sz w:val="16"/>
          <w:szCs w:val="16"/>
          <w:color w:val="auto"/>
        </w:rPr>
        <w:t>. To the extent desirable to qualify transactions hereunder as exempt under Rule 16b-3,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hereunder will be structured to satisfy the requirements for exemption under Rule 16b-3.</w:t>
      </w:r>
    </w:p>
    <w:p>
      <w:pPr>
        <w:spacing w:after="0" w:line="115" w:lineRule="exact"/>
        <w:rPr>
          <w:sz w:val="20"/>
          <w:szCs w:val="20"/>
          <w:color w:val="auto"/>
        </w:rPr>
      </w:pPr>
    </w:p>
    <w:p>
      <w:pPr>
        <w:ind w:left="1264" w:right="520" w:hanging="539"/>
        <w:spacing w:after="0" w:line="286" w:lineRule="auto"/>
        <w:tabs>
          <w:tab w:leader="none" w:pos="1244" w:val="left"/>
        </w:tabs>
        <w:rPr>
          <w:sz w:val="20"/>
          <w:szCs w:val="20"/>
          <w:color w:val="auto"/>
        </w:rPr>
      </w:pPr>
      <w:r>
        <w:rPr>
          <w:rFonts w:ascii="Arial" w:cs="Arial" w:eastAsia="Arial" w:hAnsi="Arial"/>
          <w:sz w:val="16"/>
          <w:szCs w:val="16"/>
          <w:color w:val="auto"/>
        </w:rPr>
        <w:t>4.1.3</w:t>
      </w:r>
      <w:r>
        <w:rPr>
          <w:sz w:val="20"/>
          <w:szCs w:val="20"/>
          <w:color w:val="auto"/>
        </w:rPr>
        <w:tab/>
      </w:r>
      <w:r>
        <w:rPr>
          <w:rFonts w:ascii="Arial" w:cs="Arial" w:eastAsia="Arial" w:hAnsi="Arial"/>
          <w:sz w:val="16"/>
          <w:szCs w:val="16"/>
          <w:b w:val="1"/>
          <w:bCs w:val="1"/>
          <w:color w:val="auto"/>
        </w:rPr>
        <w:t>Other Administration</w:t>
      </w:r>
      <w:r>
        <w:rPr>
          <w:rFonts w:ascii="Arial" w:cs="Arial" w:eastAsia="Arial" w:hAnsi="Arial"/>
          <w:sz w:val="16"/>
          <w:szCs w:val="16"/>
          <w:color w:val="auto"/>
        </w:rPr>
        <w:t>. Other than as provided above, the Plan will be administered by (a) the Board or (b)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which Committee will be constituted to comply with Applicable Laws.</w:t>
      </w:r>
    </w:p>
    <w:p>
      <w:pPr>
        <w:spacing w:after="0" w:line="129" w:lineRule="exact"/>
        <w:rPr>
          <w:sz w:val="20"/>
          <w:szCs w:val="20"/>
          <w:color w:val="auto"/>
        </w:rPr>
      </w:pPr>
    </w:p>
    <w:p>
      <w:pPr>
        <w:ind w:left="1264" w:right="120" w:hanging="539"/>
        <w:spacing w:after="0" w:line="266" w:lineRule="auto"/>
        <w:tabs>
          <w:tab w:leader="none" w:pos="1244" w:val="left"/>
        </w:tabs>
        <w:rPr>
          <w:sz w:val="20"/>
          <w:szCs w:val="20"/>
          <w:color w:val="auto"/>
        </w:rPr>
      </w:pPr>
      <w:r>
        <w:rPr>
          <w:rFonts w:ascii="Arial" w:cs="Arial" w:eastAsia="Arial" w:hAnsi="Arial"/>
          <w:sz w:val="16"/>
          <w:szCs w:val="16"/>
          <w:color w:val="auto"/>
        </w:rPr>
        <w:t>4.1.4</w:t>
      </w:r>
      <w:r>
        <w:rPr>
          <w:sz w:val="20"/>
          <w:szCs w:val="20"/>
          <w:color w:val="auto"/>
        </w:rPr>
        <w:tab/>
      </w:r>
      <w:r>
        <w:rPr>
          <w:rFonts w:ascii="Arial" w:cs="Arial" w:eastAsia="Arial" w:hAnsi="Arial"/>
          <w:sz w:val="16"/>
          <w:szCs w:val="16"/>
          <w:b w:val="1"/>
          <w:bCs w:val="1"/>
          <w:color w:val="auto"/>
        </w:rPr>
        <w:t>Delegation of Authority for Day-to-Day Administration</w:t>
      </w:r>
      <w:r>
        <w:rPr>
          <w:rFonts w:ascii="Arial" w:cs="Arial" w:eastAsia="Arial" w:hAnsi="Arial"/>
          <w:sz w:val="16"/>
          <w:szCs w:val="16"/>
          <w:color w:val="auto"/>
        </w:rPr>
        <w:t>. Except to the extent prohibited by Applicable 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may delegate to one or more individuals the day-to-day administration of the Plan and any of the functions assigned to it in the Plan. Such delegation may be revoked at any time.</w:t>
      </w:r>
    </w:p>
    <w:p>
      <w:pPr>
        <w:spacing w:after="0" w:line="131" w:lineRule="exact"/>
        <w:rPr>
          <w:sz w:val="20"/>
          <w:szCs w:val="20"/>
          <w:color w:val="auto"/>
        </w:rPr>
      </w:pPr>
    </w:p>
    <w:p>
      <w:pPr>
        <w:ind w:left="704" w:right="20" w:hanging="350"/>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Powers of the Administrator</w:t>
      </w:r>
      <w:r>
        <w:rPr>
          <w:rFonts w:ascii="Arial" w:cs="Arial" w:eastAsia="Arial" w:hAnsi="Arial"/>
          <w:sz w:val="16"/>
          <w:szCs w:val="16"/>
          <w:color w:val="auto"/>
        </w:rPr>
        <w:t>. Subject to the provisions of the Plan, and in the case of a Committee, subject to the specific duties delegated by the Board to such Committee, the Administrator will have the authority, in its discretion:</w:t>
      </w:r>
    </w:p>
    <w:p>
      <w:pPr>
        <w:spacing w:after="0" w:line="115" w:lineRule="exact"/>
        <w:rPr>
          <w:sz w:val="20"/>
          <w:szCs w:val="20"/>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determine the Fair Market Value;</w:t>
      </w:r>
    </w:p>
    <w:p>
      <w:pPr>
        <w:spacing w:after="0" w:line="194" w:lineRule="exact"/>
        <w:rPr>
          <w:rFonts w:ascii="Arial" w:cs="Arial" w:eastAsia="Arial" w:hAnsi="Arial"/>
          <w:sz w:val="16"/>
          <w:szCs w:val="16"/>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determine the Awards to be granted and select the Service Providers to whom Awards may be granted hereunder;</w:t>
      </w:r>
    </w:p>
    <w:p>
      <w:pPr>
        <w:spacing w:after="0" w:line="180" w:lineRule="exact"/>
        <w:rPr>
          <w:rFonts w:ascii="Arial" w:cs="Arial" w:eastAsia="Arial" w:hAnsi="Arial"/>
          <w:sz w:val="16"/>
          <w:szCs w:val="16"/>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determine the number of Shares or dollar amounts to be covered by each Award granted hereunder;</w:t>
      </w:r>
    </w:p>
    <w:p>
      <w:pPr>
        <w:spacing w:after="0" w:line="180" w:lineRule="exact"/>
        <w:rPr>
          <w:rFonts w:ascii="Arial" w:cs="Arial" w:eastAsia="Arial" w:hAnsi="Arial"/>
          <w:sz w:val="16"/>
          <w:szCs w:val="16"/>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approve forms of Award Agreements for use under the Plan;</w:t>
      </w:r>
    </w:p>
    <w:p>
      <w:pPr>
        <w:spacing w:after="0" w:line="194" w:lineRule="exact"/>
        <w:rPr>
          <w:rFonts w:ascii="Arial" w:cs="Arial" w:eastAsia="Arial" w:hAnsi="Arial"/>
          <w:sz w:val="16"/>
          <w:szCs w:val="16"/>
          <w:color w:val="auto"/>
        </w:rPr>
      </w:pPr>
    </w:p>
    <w:p>
      <w:pPr>
        <w:ind w:left="1064" w:hanging="344"/>
        <w:spacing w:after="0" w:line="251" w:lineRule="auto"/>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may determine;</w:t>
      </w:r>
    </w:p>
    <w:p>
      <w:pPr>
        <w:spacing w:after="0" w:line="144" w:lineRule="exact"/>
        <w:rPr>
          <w:rFonts w:ascii="Arial" w:cs="Arial" w:eastAsia="Arial" w:hAnsi="Arial"/>
          <w:sz w:val="16"/>
          <w:szCs w:val="16"/>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180" w:lineRule="exact"/>
        <w:rPr>
          <w:rFonts w:ascii="Arial" w:cs="Arial" w:eastAsia="Arial" w:hAnsi="Arial"/>
          <w:sz w:val="16"/>
          <w:szCs w:val="16"/>
          <w:color w:val="auto"/>
        </w:rPr>
      </w:pPr>
    </w:p>
    <w:p>
      <w:pPr>
        <w:ind w:left="1064" w:right="180" w:hanging="344"/>
        <w:spacing w:after="0" w:line="259" w:lineRule="auto"/>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facilitating compliance with applicable non-U.S. laws, easing the administration of the Plan and/or for qualifying for favorable tax treatment under applicable non-U.S. laws, in each case as the Administrator may deem necessary or advisable;</w:t>
      </w:r>
    </w:p>
    <w:p>
      <w:pPr>
        <w:spacing w:after="0" w:line="150" w:lineRule="exact"/>
        <w:rPr>
          <w:rFonts w:ascii="Arial" w:cs="Arial" w:eastAsia="Arial" w:hAnsi="Arial"/>
          <w:sz w:val="16"/>
          <w:szCs w:val="16"/>
          <w:color w:val="auto"/>
        </w:rPr>
      </w:pPr>
    </w:p>
    <w:p>
      <w:pPr>
        <w:jc w:val="both"/>
        <w:ind w:left="1064" w:right="300" w:hanging="344"/>
        <w:spacing w:after="0" w:line="266" w:lineRule="auto"/>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modify or amend each Award (subject to Section 19.3), including but not limited to the discretionary authority to extend the post-termination exercisability period of Awards and to extend the maximum term of an Option or Stock Appreciation Right (subject to Sections 6.4 and 7.5);</w:t>
      </w:r>
    </w:p>
    <w:p>
      <w:pPr>
        <w:spacing w:after="0" w:line="130" w:lineRule="exact"/>
        <w:rPr>
          <w:rFonts w:ascii="Arial" w:cs="Arial" w:eastAsia="Arial" w:hAnsi="Arial"/>
          <w:sz w:val="16"/>
          <w:szCs w:val="16"/>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allow Participants to satisfy withholding tax obligations in a manner prescribed in Section 16 of the Exchange Act;</w:t>
      </w:r>
    </w:p>
    <w:p>
      <w:pPr>
        <w:spacing w:after="0" w:line="180" w:lineRule="exact"/>
        <w:rPr>
          <w:rFonts w:ascii="Arial" w:cs="Arial" w:eastAsia="Arial" w:hAnsi="Arial"/>
          <w:sz w:val="16"/>
          <w:szCs w:val="16"/>
          <w:color w:val="auto"/>
        </w:rPr>
      </w:pPr>
    </w:p>
    <w:p>
      <w:pPr>
        <w:ind w:left="1064" w:right="140" w:hanging="344"/>
        <w:spacing w:after="0" w:line="286" w:lineRule="auto"/>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Award previously granted by the Administrator;</w:t>
      </w:r>
    </w:p>
    <w:p>
      <w:pPr>
        <w:spacing w:after="0" w:line="128" w:lineRule="exact"/>
        <w:rPr>
          <w:rFonts w:ascii="Arial" w:cs="Arial" w:eastAsia="Arial" w:hAnsi="Arial"/>
          <w:sz w:val="16"/>
          <w:szCs w:val="16"/>
          <w:color w:val="auto"/>
        </w:rPr>
      </w:pPr>
    </w:p>
    <w:p>
      <w:pPr>
        <w:ind w:left="1064" w:right="40" w:hanging="344"/>
        <w:spacing w:after="0" w:line="286" w:lineRule="auto"/>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allow a Participant to defer the receipt of the payment of cash or the delivery of Shares that otherwise would be due to such Participant under an Award;</w:t>
      </w:r>
    </w:p>
    <w:p>
      <w:pPr>
        <w:spacing w:after="0" w:line="115" w:lineRule="exact"/>
        <w:rPr>
          <w:rFonts w:ascii="Arial" w:cs="Arial" w:eastAsia="Arial" w:hAnsi="Arial"/>
          <w:sz w:val="16"/>
          <w:szCs w:val="16"/>
          <w:color w:val="auto"/>
        </w:rPr>
      </w:pPr>
    </w:p>
    <w:p>
      <w:pPr>
        <w:ind w:left="1064" w:hanging="344"/>
        <w:spacing w:after="0"/>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determine whether Awards will be settled in Shares, cash or in any combination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217805</wp:posOffset>
            </wp:positionV>
            <wp:extent cx="62547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5475" cy="196850"/>
                    </a:xfrm>
                    <a:prstGeom prst="rect">
                      <a:avLst/>
                    </a:prstGeom>
                    <a:noFill/>
                  </pic:spPr>
                </pic:pic>
              </a:graphicData>
            </a:graphic>
          </wp:anchor>
        </w:drawing>
      </w:r>
    </w:p>
    <w:p>
      <w:pPr>
        <w:spacing w:after="0" w:line="377" w:lineRule="exact"/>
        <w:rPr>
          <w:sz w:val="20"/>
          <w:szCs w:val="20"/>
          <w:color w:val="auto"/>
        </w:rPr>
      </w:pPr>
    </w:p>
    <w:p>
      <w:pPr>
        <w:ind w:left="4"/>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192405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25" w:right="1199" w:bottom="1440" w:gutter="0" w:footer="0" w:header="0"/>
        </w:sectPr>
      </w:pPr>
    </w:p>
    <w:bookmarkStart w:id="10" w:name="page11"/>
    <w:bookmarkEnd w:id="10"/>
    <w:p>
      <w:pPr>
        <w:ind w:left="866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724"/>
        <w:spacing w:after="0"/>
        <w:rPr>
          <w:sz w:val="20"/>
          <w:szCs w:val="20"/>
          <w:color w:val="auto"/>
        </w:rPr>
      </w:pPr>
      <w:r>
        <w:rPr>
          <w:rFonts w:ascii="Arial" w:cs="Arial" w:eastAsia="Arial" w:hAnsi="Arial"/>
          <w:sz w:val="16"/>
          <w:szCs w:val="16"/>
          <w:color w:val="auto"/>
        </w:rPr>
        <w:t>(m) to make all other determinations deemed necessary or advisable for administering the Plan.</w:t>
      </w:r>
    </w:p>
    <w:p>
      <w:pPr>
        <w:spacing w:after="0" w:line="181" w:lineRule="exact"/>
        <w:rPr>
          <w:sz w:val="20"/>
          <w:szCs w:val="20"/>
          <w:color w:val="auto"/>
        </w:rPr>
      </w:pPr>
    </w:p>
    <w:p>
      <w:pPr>
        <w:ind w:left="364" w:right="80"/>
        <w:spacing w:after="0" w:line="259" w:lineRule="auto"/>
        <w:rPr>
          <w:sz w:val="20"/>
          <w:szCs w:val="20"/>
          <w:color w:val="auto"/>
        </w:rPr>
      </w:pPr>
      <w:r>
        <w:rPr>
          <w:rFonts w:ascii="Arial" w:cs="Arial" w:eastAsia="Arial" w:hAnsi="Arial"/>
          <w:sz w:val="16"/>
          <w:szCs w:val="16"/>
          <w:color w:val="auto"/>
        </w:rPr>
        <w:t>For the avoidance of doubt, the Administrator will not be obligated to treat all Awards, all Awards held by a Participant, all Awards of the same type, or all portions of Awards, similarly including but not limited to with respect to the number of Shares covered by such Award, the price applicable to such Award, or the vesting, forfeiture or other terms and conditions applicable to such award.</w:t>
      </w:r>
    </w:p>
    <w:p>
      <w:pPr>
        <w:spacing w:after="0" w:line="151" w:lineRule="exact"/>
        <w:rPr>
          <w:sz w:val="20"/>
          <w:szCs w:val="20"/>
          <w:color w:val="auto"/>
        </w:rPr>
      </w:pPr>
    </w:p>
    <w:p>
      <w:pPr>
        <w:ind w:left="704" w:right="140" w:hanging="350"/>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No Exchange Program or Repricing</w:t>
      </w:r>
      <w:r>
        <w:rPr>
          <w:rFonts w:ascii="Arial" w:cs="Arial" w:eastAsia="Arial" w:hAnsi="Arial"/>
          <w:sz w:val="16"/>
          <w:szCs w:val="16"/>
          <w:color w:val="auto"/>
        </w:rPr>
        <w:t>. Notwithstanding the powers of the Administrator set forth herein, the Administrator will not be permitted to implement an Exchange Program.</w:t>
      </w:r>
    </w:p>
    <w:p>
      <w:pPr>
        <w:spacing w:after="0" w:line="115" w:lineRule="exact"/>
        <w:rPr>
          <w:sz w:val="20"/>
          <w:szCs w:val="20"/>
          <w:color w:val="auto"/>
        </w:rPr>
      </w:pPr>
    </w:p>
    <w:p>
      <w:pPr>
        <w:ind w:left="364"/>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Limits</w:t>
      </w:r>
      <w:r>
        <w:rPr>
          <w:rFonts w:ascii="Arial" w:cs="Arial" w:eastAsia="Arial" w:hAnsi="Arial"/>
          <w:sz w:val="16"/>
          <w:szCs w:val="16"/>
          <w:color w:val="auto"/>
        </w:rPr>
        <w:t>. The following limitations will apply to Awards granted under the Plan:</w:t>
      </w:r>
    </w:p>
    <w:p>
      <w:pPr>
        <w:spacing w:after="0" w:line="181" w:lineRule="exact"/>
        <w:rPr>
          <w:sz w:val="20"/>
          <w:szCs w:val="20"/>
          <w:color w:val="auto"/>
        </w:rPr>
      </w:pPr>
    </w:p>
    <w:p>
      <w:pPr>
        <w:ind w:left="1264" w:right="200" w:hanging="539"/>
        <w:spacing w:after="0" w:line="259" w:lineRule="auto"/>
        <w:tabs>
          <w:tab w:leader="none" w:pos="1244" w:val="left"/>
        </w:tabs>
        <w:rPr>
          <w:sz w:val="20"/>
          <w:szCs w:val="20"/>
          <w:color w:val="auto"/>
        </w:rPr>
      </w:pPr>
      <w:r>
        <w:rPr>
          <w:rFonts w:ascii="Arial" w:cs="Arial" w:eastAsia="Arial" w:hAnsi="Arial"/>
          <w:sz w:val="16"/>
          <w:szCs w:val="16"/>
          <w:color w:val="auto"/>
        </w:rPr>
        <w:t>4.4.1</w:t>
      </w:r>
      <w:r>
        <w:rPr>
          <w:sz w:val="20"/>
          <w:szCs w:val="20"/>
          <w:color w:val="auto"/>
        </w:rPr>
        <w:tab/>
      </w:r>
      <w:r>
        <w:rPr>
          <w:rFonts w:ascii="Arial" w:cs="Arial" w:eastAsia="Arial" w:hAnsi="Arial"/>
          <w:sz w:val="16"/>
          <w:szCs w:val="16"/>
          <w:b w:val="1"/>
          <w:bCs w:val="1"/>
          <w:color w:val="auto"/>
        </w:rPr>
        <w:t>Participant Award Limitations</w:t>
      </w:r>
      <w:r>
        <w:rPr>
          <w:rFonts w:ascii="Arial" w:cs="Arial" w:eastAsia="Arial" w:hAnsi="Arial"/>
          <w:sz w:val="16"/>
          <w:szCs w:val="16"/>
          <w:color w:val="auto"/>
        </w:rPr>
        <w:t>. Subject to any adjustment pursuant to Section 14.1, in any Fiscal Year, no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be granted Options and Stock Appreciation Rights to purchase more than 800,000 Shares, and no Participant will be granted any Restricted Stock, Restricted Stock Units and Performance Awards covering more than 800,000 Shares.</w:t>
      </w:r>
    </w:p>
    <w:p>
      <w:pPr>
        <w:spacing w:after="0" w:line="151" w:lineRule="exact"/>
        <w:rPr>
          <w:sz w:val="20"/>
          <w:szCs w:val="20"/>
          <w:color w:val="auto"/>
        </w:rPr>
      </w:pPr>
    </w:p>
    <w:p>
      <w:pPr>
        <w:ind w:left="1264" w:right="40" w:hanging="539"/>
        <w:spacing w:after="0" w:line="251" w:lineRule="auto"/>
        <w:tabs>
          <w:tab w:leader="none" w:pos="1244" w:val="left"/>
        </w:tabs>
        <w:rPr>
          <w:sz w:val="20"/>
          <w:szCs w:val="20"/>
          <w:color w:val="auto"/>
        </w:rPr>
      </w:pPr>
      <w:r>
        <w:rPr>
          <w:rFonts w:ascii="Arial" w:cs="Arial" w:eastAsia="Arial" w:hAnsi="Arial"/>
          <w:sz w:val="16"/>
          <w:szCs w:val="16"/>
          <w:color w:val="auto"/>
        </w:rPr>
        <w:t>4.4.2</w:t>
      </w:r>
      <w:r>
        <w:rPr>
          <w:sz w:val="20"/>
          <w:szCs w:val="20"/>
          <w:color w:val="auto"/>
        </w:rPr>
        <w:tab/>
      </w:r>
      <w:r>
        <w:rPr>
          <w:rFonts w:ascii="Arial" w:cs="Arial" w:eastAsia="Arial" w:hAnsi="Arial"/>
          <w:sz w:val="16"/>
          <w:szCs w:val="16"/>
          <w:b w:val="1"/>
          <w:bCs w:val="1"/>
          <w:color w:val="auto"/>
        </w:rPr>
        <w:t>Outside Director Award Limitations</w:t>
      </w:r>
      <w:r>
        <w:rPr>
          <w:rFonts w:ascii="Arial" w:cs="Arial" w:eastAsia="Arial" w:hAnsi="Arial"/>
          <w:sz w:val="16"/>
          <w:szCs w:val="16"/>
          <w:color w:val="auto"/>
        </w:rPr>
        <w:t>. In any Fiscal Year, no Outside Director may be granted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Awards granted under the Plan), the value of which will be based on their grant date fair value determined in accordance with U.S. generally accepted accounting principles, and be provided any cash retainers or fees in amounts that, in the aggregate, exceed $600,000; provided that such amount is increased to $1,000,000 in the Fiscal Year of his or her initial service as an Outside Director. Any equity awards (including Awards granted under the Plan) or other compensation provided to an individual for his or her services as an Employee, or for his or her services as a Consultant other than as an Outside Director, will be excluded for purposes of this Section 4.4.2. For purposes of determining when cash retainers or fees are provided, any deferral elections to delay payout timing will be disregarded.</w:t>
      </w:r>
    </w:p>
    <w:p>
      <w:pPr>
        <w:spacing w:after="0" w:line="145" w:lineRule="exact"/>
        <w:rPr>
          <w:sz w:val="20"/>
          <w:szCs w:val="20"/>
          <w:color w:val="auto"/>
        </w:rPr>
      </w:pPr>
    </w:p>
    <w:p>
      <w:pPr>
        <w:ind w:left="704" w:right="60" w:hanging="350"/>
        <w:spacing w:after="0" w:line="24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Dividends</w:t>
      </w:r>
      <w:r>
        <w:rPr>
          <w:rFonts w:ascii="Arial" w:cs="Arial" w:eastAsia="Arial" w:hAnsi="Arial"/>
          <w:sz w:val="16"/>
          <w:szCs w:val="16"/>
          <w:color w:val="auto"/>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14.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vesting criteria and forfeitability provisions as the Shares of Restricted Stock with respect to which they were paid. With respect to Awards of Restricted Stock Units and Performance Awards, until the Shares are issued (as evidenced by the appropriate entry on the books of the Company or a duly authorized transfer agent of the Company),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w:t>
      </w:r>
    </w:p>
    <w:p>
      <w:pPr>
        <w:spacing w:after="0" w:line="147" w:lineRule="exact"/>
        <w:rPr>
          <w:sz w:val="20"/>
          <w:szCs w:val="20"/>
          <w:color w:val="auto"/>
        </w:rPr>
      </w:pPr>
    </w:p>
    <w:p>
      <w:pPr>
        <w:ind w:left="704" w:right="260" w:hanging="350"/>
        <w:spacing w:after="0" w:line="26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Effect of Administrator’s Decisions</w:t>
      </w:r>
      <w:r>
        <w:rPr>
          <w:rFonts w:ascii="Arial" w:cs="Arial" w:eastAsia="Arial" w:hAnsi="Arial"/>
          <w:sz w:val="16"/>
          <w:szCs w:val="16"/>
          <w:color w:val="auto"/>
        </w:rPr>
        <w:t>. The Administrator’s decisions, determinations and interpretations will be final and binding on all Participants and any other holders of Awards and will be given the maximum deference permitted by Applicable Laws.</w:t>
      </w:r>
    </w:p>
    <w:p>
      <w:pPr>
        <w:spacing w:after="0" w:line="144" w:lineRule="exact"/>
        <w:rPr>
          <w:sz w:val="20"/>
          <w:szCs w:val="20"/>
          <w:color w:val="auto"/>
        </w:rPr>
      </w:pPr>
    </w:p>
    <w:p>
      <w:pPr>
        <w:ind w:left="344" w:right="440" w:hanging="344"/>
        <w:spacing w:after="0" w:line="286" w:lineRule="auto"/>
        <w:tabs>
          <w:tab w:leader="none" w:pos="344"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ligibility</w:t>
      </w:r>
      <w:r>
        <w:rPr>
          <w:rFonts w:ascii="Arial" w:cs="Arial" w:eastAsia="Arial" w:hAnsi="Arial"/>
          <w:sz w:val="16"/>
          <w:szCs w:val="16"/>
          <w:color w:val="auto"/>
        </w:rPr>
        <w:t>. Nonstatutory Stock Options, Stock Appreciation Rights, Restricted Stock, Restricted Stock Units or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may be granted to Service Providers. Incentive Stock Options may be granted only to Section 424 Employees.</w:t>
      </w:r>
    </w:p>
    <w:p>
      <w:pPr>
        <w:spacing w:after="0" w:line="115" w:lineRule="exact"/>
        <w:rPr>
          <w:rFonts w:ascii="Arial" w:cs="Arial" w:eastAsia="Arial" w:hAnsi="Arial"/>
          <w:sz w:val="16"/>
          <w:szCs w:val="16"/>
          <w:color w:val="auto"/>
        </w:rPr>
      </w:pPr>
    </w:p>
    <w:p>
      <w:pPr>
        <w:ind w:left="344" w:hanging="344"/>
        <w:spacing w:after="0"/>
        <w:tabs>
          <w:tab w:leader="none" w:pos="344"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tock</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ptions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center"/>
        <w:ind w:left="704" w:right="320" w:hanging="351"/>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Options</w:t>
      </w:r>
      <w:r>
        <w:rPr>
          <w:rFonts w:ascii="Arial" w:cs="Arial" w:eastAsia="Arial" w:hAnsi="Arial"/>
          <w:sz w:val="16"/>
          <w:szCs w:val="16"/>
          <w:color w:val="auto"/>
        </w:rPr>
        <w:t>. Subject to the terms and conditions of the Plan, the Administrator, at any time and from time to time, may grant Options to Service Providers in such amounts as the Administrator, in its sole discretion, will determine.</w:t>
      </w:r>
    </w:p>
    <w:p>
      <w:pPr>
        <w:spacing w:after="0" w:line="128" w:lineRule="exact"/>
        <w:rPr>
          <w:rFonts w:ascii="Arial" w:cs="Arial" w:eastAsia="Arial" w:hAnsi="Arial"/>
          <w:sz w:val="16"/>
          <w:szCs w:val="16"/>
          <w:color w:val="auto"/>
        </w:rPr>
      </w:pPr>
    </w:p>
    <w:p>
      <w:pPr>
        <w:ind w:left="704" w:hanging="351"/>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Option Agreement</w:t>
      </w:r>
      <w:r>
        <w:rPr>
          <w:rFonts w:ascii="Arial" w:cs="Arial" w:eastAsia="Arial" w:hAnsi="Arial"/>
          <w:sz w:val="16"/>
          <w:szCs w:val="16"/>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186055</wp:posOffset>
            </wp:positionV>
            <wp:extent cx="62611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110" cy="197485"/>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192405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700" w:right="20" w:hanging="350"/>
        <w:spacing w:after="0" w:line="25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Limitations</w:t>
      </w:r>
      <w:r>
        <w:rPr>
          <w:rFonts w:ascii="Arial" w:cs="Arial" w:eastAsia="Arial" w:hAnsi="Arial"/>
          <w:sz w:val="16"/>
          <w:szCs w:val="16"/>
          <w:color w:val="auto"/>
        </w:rPr>
        <w:t>. Each Option will be designated in the Award Agreement as either an Incentive Stock Option or a Nonstatutory Stock Option. Notwithstanding such designation, to the extent that the aggregate fair market value of the Shares with respect to which incentive stock options are exercisable for the first time by the Participant during any calendar year (under all plans of the Company and any Section 424 Parent or Section 424 Subsidiary of the Company)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42" w:lineRule="exact"/>
        <w:rPr>
          <w:sz w:val="20"/>
          <w:szCs w:val="20"/>
          <w:color w:val="auto"/>
        </w:rPr>
      </w:pPr>
    </w:p>
    <w:p>
      <w:pPr>
        <w:ind w:left="700" w:right="20" w:hanging="350"/>
        <w:spacing w:after="0" w:line="25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Term of Option</w:t>
      </w:r>
      <w:r>
        <w:rPr>
          <w:rFonts w:ascii="Arial" w:cs="Arial" w:eastAsia="Arial" w:hAnsi="Arial"/>
          <w:sz w:val="16"/>
          <w:szCs w:val="16"/>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Section 424 Parent or Section 424 Subsidiary of the Company, the maximum term of the Incentive Stock Option will be five (5) years from the date of grant.</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color w:val="auto"/>
        </w:rPr>
        <w:t>Option Exercise Price and Consideration</w:t>
      </w:r>
      <w:r>
        <w:rPr>
          <w:rFonts w:ascii="Arial" w:cs="Arial" w:eastAsia="Arial" w:hAnsi="Arial"/>
          <w:sz w:val="16"/>
          <w:szCs w:val="16"/>
          <w:color w:val="auto"/>
        </w:rPr>
        <w:t>.</w:t>
      </w:r>
    </w:p>
    <w:p>
      <w:pPr>
        <w:spacing w:after="0" w:line="181" w:lineRule="exact"/>
        <w:rPr>
          <w:sz w:val="20"/>
          <w:szCs w:val="20"/>
          <w:color w:val="auto"/>
        </w:rPr>
      </w:pPr>
    </w:p>
    <w:p>
      <w:pPr>
        <w:ind w:left="1260" w:right="40" w:hanging="539"/>
        <w:spacing w:after="0" w:line="251" w:lineRule="auto"/>
        <w:tabs>
          <w:tab w:leader="none" w:pos="1240" w:val="left"/>
        </w:tabs>
        <w:rPr>
          <w:sz w:val="20"/>
          <w:szCs w:val="20"/>
          <w:color w:val="auto"/>
        </w:rPr>
      </w:pPr>
      <w:r>
        <w:rPr>
          <w:rFonts w:ascii="Arial" w:cs="Arial" w:eastAsia="Arial" w:hAnsi="Arial"/>
          <w:sz w:val="16"/>
          <w:szCs w:val="16"/>
          <w:color w:val="auto"/>
        </w:rPr>
        <w:t>6.5.1</w:t>
      </w:r>
      <w:r>
        <w:rPr>
          <w:sz w:val="20"/>
          <w:szCs w:val="20"/>
          <w:color w:val="auto"/>
        </w:rPr>
        <w:tab/>
      </w:r>
      <w:r>
        <w:rPr>
          <w:rFonts w:ascii="Arial" w:cs="Arial" w:eastAsia="Arial" w:hAnsi="Arial"/>
          <w:sz w:val="16"/>
          <w:szCs w:val="16"/>
          <w:b w:val="1"/>
          <w:bCs w:val="1"/>
          <w:color w:val="auto"/>
        </w:rPr>
        <w:t>Exercise Price</w:t>
      </w:r>
      <w:r>
        <w:rPr>
          <w:rFonts w:ascii="Arial" w:cs="Arial" w:eastAsia="Arial" w:hAnsi="Arial"/>
          <w:sz w:val="16"/>
          <w:szCs w:val="16"/>
          <w:color w:val="auto"/>
        </w:rPr>
        <w:t>. The per-Share exercise price for the Shares to be issued pursuant to the exercise of an Option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determined by the Administrator, but will be no less than one hundred percent (100%) of the Fair Market Value per Share on the date of grant. In addition, in the case of an Incentive Stock Option granted to a Section 424 Employee who owns stock representing more than ten percent (10%) of the voting power of all classes of stock of the Company or any Section 424 Parent or Section 424 Subsidiary of the Company, the per-Share exercise price will be no less than one hundred ten percent (110%) of the Fair Market Value per Share on the date of grant. Notwithstanding the foregoing, Options may be granted with a per-Share exercise price of less than one hundred percent (100%) of the Fair Market Value per Share on the date of grant pursuant to a transaction described in, and in a manner consistent with, Code Section 424(a).</w:t>
      </w:r>
    </w:p>
    <w:p>
      <w:pPr>
        <w:spacing w:after="0" w:line="145" w:lineRule="exact"/>
        <w:rPr>
          <w:sz w:val="20"/>
          <w:szCs w:val="20"/>
          <w:color w:val="auto"/>
        </w:rPr>
      </w:pPr>
    </w:p>
    <w:p>
      <w:pPr>
        <w:ind w:left="1260" w:right="100" w:hanging="539"/>
        <w:spacing w:after="0" w:line="266" w:lineRule="auto"/>
        <w:tabs>
          <w:tab w:leader="none" w:pos="1240" w:val="left"/>
        </w:tabs>
        <w:rPr>
          <w:sz w:val="20"/>
          <w:szCs w:val="20"/>
          <w:color w:val="auto"/>
        </w:rPr>
      </w:pPr>
      <w:r>
        <w:rPr>
          <w:rFonts w:ascii="Arial" w:cs="Arial" w:eastAsia="Arial" w:hAnsi="Arial"/>
          <w:sz w:val="16"/>
          <w:szCs w:val="16"/>
          <w:color w:val="auto"/>
        </w:rPr>
        <w:t>6.5.2</w:t>
      </w:r>
      <w:r>
        <w:rPr>
          <w:sz w:val="20"/>
          <w:szCs w:val="20"/>
          <w:color w:val="auto"/>
        </w:rPr>
        <w:tab/>
      </w:r>
      <w:r>
        <w:rPr>
          <w:rFonts w:ascii="Arial" w:cs="Arial" w:eastAsia="Arial" w:hAnsi="Arial"/>
          <w:sz w:val="16"/>
          <w:szCs w:val="16"/>
          <w:b w:val="1"/>
          <w:bCs w:val="1"/>
          <w:color w:val="auto"/>
        </w:rPr>
        <w:t>Waiting Period and Exercise Dates</w:t>
      </w:r>
      <w:r>
        <w:rPr>
          <w:rFonts w:ascii="Arial" w:cs="Arial" w:eastAsia="Arial" w:hAnsi="Arial"/>
          <w:sz w:val="16"/>
          <w:szCs w:val="16"/>
          <w:color w:val="auto"/>
        </w:rPr>
        <w:t>. At the time an Option is granted, the Administrator will fix the period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Option may be exercised and will determine any conditions that must be satisfied before the Option may be exercised.</w:t>
      </w:r>
    </w:p>
    <w:p>
      <w:pPr>
        <w:spacing w:after="0" w:line="144" w:lineRule="exact"/>
        <w:rPr>
          <w:sz w:val="20"/>
          <w:szCs w:val="20"/>
          <w:color w:val="auto"/>
        </w:rPr>
      </w:pPr>
    </w:p>
    <w:p>
      <w:pPr>
        <w:ind w:left="1260" w:hanging="539"/>
        <w:spacing w:after="0" w:line="250" w:lineRule="auto"/>
        <w:tabs>
          <w:tab w:leader="none" w:pos="1240" w:val="left"/>
        </w:tabs>
        <w:rPr>
          <w:sz w:val="20"/>
          <w:szCs w:val="20"/>
          <w:color w:val="auto"/>
        </w:rPr>
      </w:pPr>
      <w:r>
        <w:rPr>
          <w:rFonts w:ascii="Arial" w:cs="Arial" w:eastAsia="Arial" w:hAnsi="Arial"/>
          <w:sz w:val="16"/>
          <w:szCs w:val="16"/>
          <w:color w:val="auto"/>
        </w:rPr>
        <w:t>6.5.3</w:t>
      </w:r>
      <w:r>
        <w:rPr>
          <w:sz w:val="20"/>
          <w:szCs w:val="20"/>
          <w:color w:val="auto"/>
        </w:rPr>
        <w:tab/>
      </w:r>
      <w:r>
        <w:rPr>
          <w:rFonts w:ascii="Arial" w:cs="Arial" w:eastAsia="Arial" w:hAnsi="Arial"/>
          <w:sz w:val="16"/>
          <w:szCs w:val="16"/>
          <w:b w:val="1"/>
          <w:bCs w:val="1"/>
          <w:color w:val="auto"/>
        </w:rPr>
        <w:t>Form of Consideration</w:t>
      </w:r>
      <w:r>
        <w:rPr>
          <w:rFonts w:ascii="Arial" w:cs="Arial" w:eastAsia="Arial" w:hAnsi="Arial"/>
          <w:sz w:val="16"/>
          <w:szCs w:val="16"/>
          <w:color w:val="auto"/>
        </w:rPr>
        <w:t>. The Administrator will determine the acceptable form of consideration for exercising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including the method of payment. Such consideration may consist of any one of or a combination of the following: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any other consideration and method of payment for the issuance of Shares so long as permitted by Applicable Laws.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color w:val="auto"/>
        </w:rPr>
        <w:t>Exercise of Option</w:t>
      </w:r>
      <w:r>
        <w:rPr>
          <w:rFonts w:ascii="Arial" w:cs="Arial" w:eastAsia="Arial" w:hAnsi="Arial"/>
          <w:sz w:val="16"/>
          <w:szCs w:val="16"/>
          <w:color w:val="auto"/>
        </w:rPr>
        <w:t>.</w:t>
      </w:r>
    </w:p>
    <w:p>
      <w:pPr>
        <w:spacing w:after="0" w:line="181" w:lineRule="exact"/>
        <w:rPr>
          <w:sz w:val="20"/>
          <w:szCs w:val="20"/>
          <w:color w:val="auto"/>
        </w:rPr>
      </w:pPr>
    </w:p>
    <w:p>
      <w:pPr>
        <w:jc w:val="both"/>
        <w:ind w:left="1260" w:hanging="539"/>
        <w:spacing w:after="0" w:line="266" w:lineRule="auto"/>
        <w:tabs>
          <w:tab w:leader="none" w:pos="1240" w:val="left"/>
        </w:tabs>
        <w:rPr>
          <w:sz w:val="20"/>
          <w:szCs w:val="20"/>
          <w:color w:val="auto"/>
        </w:rPr>
      </w:pPr>
      <w:r>
        <w:rPr>
          <w:rFonts w:ascii="Arial" w:cs="Arial" w:eastAsia="Arial" w:hAnsi="Arial"/>
          <w:sz w:val="16"/>
          <w:szCs w:val="16"/>
          <w:color w:val="auto"/>
        </w:rPr>
        <w:t>6.6.1</w:t>
      </w:r>
      <w:r>
        <w:rPr>
          <w:sz w:val="20"/>
          <w:szCs w:val="20"/>
          <w:color w:val="auto"/>
        </w:rPr>
        <w:tab/>
      </w:r>
      <w:r>
        <w:rPr>
          <w:rFonts w:ascii="Arial" w:cs="Arial" w:eastAsia="Arial" w:hAnsi="Arial"/>
          <w:sz w:val="16"/>
          <w:szCs w:val="16"/>
          <w:b w:val="1"/>
          <w:bCs w:val="1"/>
          <w:color w:val="auto"/>
        </w:rPr>
        <w:t>Procedure for Exercise; Rights as a Stockholder</w:t>
      </w:r>
      <w:r>
        <w:rPr>
          <w:rFonts w:ascii="Arial" w:cs="Arial" w:eastAsia="Arial" w:hAnsi="Arial"/>
          <w:sz w:val="16"/>
          <w:szCs w:val="16"/>
          <w:color w:val="auto"/>
        </w:rPr>
        <w:t>. Any Option granted hereunder will be exercisable according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the Plan and at such times and under such conditions as determined by the Administrator and set forth in the Award Agreement. An Option may not be exercised for a fraction of a Share.</w:t>
      </w:r>
    </w:p>
    <w:p>
      <w:pPr>
        <w:spacing w:after="0" w:line="144" w:lineRule="exact"/>
        <w:rPr>
          <w:sz w:val="20"/>
          <w:szCs w:val="20"/>
          <w:color w:val="auto"/>
        </w:rPr>
      </w:pPr>
    </w:p>
    <w:p>
      <w:pPr>
        <w:ind w:left="720" w:right="180"/>
        <w:spacing w:after="0" w:line="256" w:lineRule="auto"/>
        <w:rPr>
          <w:sz w:val="20"/>
          <w:szCs w:val="20"/>
          <w:color w:val="auto"/>
        </w:rPr>
      </w:pPr>
      <w:r>
        <w:rPr>
          <w:rFonts w:ascii="Arial" w:cs="Arial" w:eastAsia="Arial" w:hAnsi="Arial"/>
          <w:sz w:val="16"/>
          <w:szCs w:val="16"/>
          <w:color w:val="auto"/>
        </w:rPr>
        <w:t>An Option will be deemed exercised when the Company receives: (a) notice of exercise (in such form and in accordance with such procedures as the Administrator may specify from time to time) from the person entitled to exercise the Option; and (b) full payment of the exercise price for the Shares with respect to which the Option is exercised (together with applicable tax withholdings). Shares issued upon exercise of an Option will be issued in the name of the Participant or, if requested by the Participant, in the name of the Participant and his or her spouse.</w:t>
      </w:r>
    </w:p>
    <w:p>
      <w:pPr>
        <w:spacing w:after="0" w:line="139" w:lineRule="exact"/>
        <w:rPr>
          <w:sz w:val="20"/>
          <w:szCs w:val="20"/>
          <w:color w:val="auto"/>
        </w:rPr>
      </w:pPr>
    </w:p>
    <w:p>
      <w:pPr>
        <w:ind w:left="720" w:right="80"/>
        <w:spacing w:after="0" w:line="266" w:lineRule="auto"/>
        <w:rPr>
          <w:sz w:val="20"/>
          <w:szCs w:val="20"/>
          <w:color w:val="auto"/>
        </w:rPr>
      </w:pPr>
      <w:r>
        <w:rPr>
          <w:rFonts w:ascii="Arial" w:cs="Arial" w:eastAsia="Arial" w:hAnsi="Arial"/>
          <w:sz w:val="16"/>
          <w:szCs w:val="16"/>
          <w:color w:val="auto"/>
        </w:rPr>
        <w:t>Exercising an Option in any manner will decrease the number of Shares thereafter available, both for purposes of the Plan (except as provided otherwise under Section 3.2) and for sale under the Option, by the number of Shares as to which the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186055</wp:posOffset>
            </wp:positionV>
            <wp:extent cx="62547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5475" cy="1968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192405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25" w:right="1199" w:bottom="1440" w:gutter="0" w:footer="0" w:header="0"/>
        </w:sectPr>
      </w:pPr>
    </w:p>
    <w:bookmarkStart w:id="12" w:name="page13"/>
    <w:bookmarkEnd w:id="12"/>
    <w:p>
      <w:pPr>
        <w:ind w:left="866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1264" w:right="20" w:hanging="539"/>
        <w:spacing w:after="0" w:line="250" w:lineRule="auto"/>
        <w:tabs>
          <w:tab w:leader="none" w:pos="1244" w:val="left"/>
        </w:tabs>
        <w:rPr>
          <w:sz w:val="20"/>
          <w:szCs w:val="20"/>
          <w:color w:val="auto"/>
        </w:rPr>
      </w:pPr>
      <w:r>
        <w:rPr>
          <w:rFonts w:ascii="Arial" w:cs="Arial" w:eastAsia="Arial" w:hAnsi="Arial"/>
          <w:sz w:val="16"/>
          <w:szCs w:val="16"/>
          <w:color w:val="auto"/>
        </w:rPr>
        <w:t>6.6.2</w:t>
      </w:r>
      <w:r>
        <w:rPr>
          <w:sz w:val="20"/>
          <w:szCs w:val="20"/>
          <w:color w:val="auto"/>
        </w:rPr>
        <w:tab/>
      </w:r>
      <w:r>
        <w:rPr>
          <w:rFonts w:ascii="Arial" w:cs="Arial" w:eastAsia="Arial" w:hAnsi="Arial"/>
          <w:sz w:val="16"/>
          <w:szCs w:val="16"/>
          <w:b w:val="1"/>
          <w:bCs w:val="1"/>
          <w:color w:val="auto"/>
        </w:rPr>
        <w:t>Termination of Relationship as a Service Provider</w:t>
      </w:r>
      <w:r>
        <w:rPr>
          <w:rFonts w:ascii="Arial" w:cs="Arial" w:eastAsia="Arial" w:hAnsi="Arial"/>
          <w:sz w:val="16"/>
          <w:szCs w:val="16"/>
          <w:color w:val="auto"/>
        </w:rPr>
        <w:t>. If a Participant ceases to be a Service Provider,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cessation as the result of the Participant’s death or Disability, the Participant may exercise his or her Option within three (3) months of such cessation, or such shorter or longer period of time as may be specified in the Award Agreement, but in no event later than the expiration of the term of such Option as set forth in the Award Agreement or Section 6.4. However,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by the Administrator, such Option will terminate, and the Shares covered by such Award will revert to the Plan.</w:t>
      </w:r>
    </w:p>
    <w:p>
      <w:pPr>
        <w:spacing w:after="0" w:line="149" w:lineRule="exact"/>
        <w:rPr>
          <w:sz w:val="20"/>
          <w:szCs w:val="20"/>
          <w:color w:val="auto"/>
        </w:rPr>
      </w:pPr>
    </w:p>
    <w:p>
      <w:pPr>
        <w:ind w:left="1264" w:hanging="539"/>
        <w:spacing w:after="0" w:line="250" w:lineRule="auto"/>
        <w:tabs>
          <w:tab w:leader="none" w:pos="1244" w:val="left"/>
        </w:tabs>
        <w:rPr>
          <w:sz w:val="20"/>
          <w:szCs w:val="20"/>
          <w:color w:val="auto"/>
        </w:rPr>
      </w:pPr>
      <w:r>
        <w:rPr>
          <w:rFonts w:ascii="Arial" w:cs="Arial" w:eastAsia="Arial" w:hAnsi="Arial"/>
          <w:sz w:val="16"/>
          <w:szCs w:val="16"/>
          <w:color w:val="auto"/>
        </w:rPr>
        <w:t>6.6.3</w:t>
      </w:r>
      <w:r>
        <w:rPr>
          <w:sz w:val="20"/>
          <w:szCs w:val="20"/>
          <w:color w:val="auto"/>
        </w:rPr>
        <w:tab/>
      </w:r>
      <w:r>
        <w:rPr>
          <w:rFonts w:ascii="Arial" w:cs="Arial" w:eastAsia="Arial" w:hAnsi="Arial"/>
          <w:sz w:val="16"/>
          <w:szCs w:val="16"/>
          <w:b w:val="1"/>
          <w:bCs w:val="1"/>
          <w:color w:val="auto"/>
        </w:rPr>
        <w:t>Disability of Participant</w:t>
      </w:r>
      <w:r>
        <w:rPr>
          <w:rFonts w:ascii="Arial" w:cs="Arial" w:eastAsia="Arial" w:hAnsi="Arial"/>
          <w:sz w:val="16"/>
          <w:szCs w:val="16"/>
          <w:color w:val="auto"/>
        </w:rPr>
        <w:t>. If a Participant ceases to be a Service Provider as a result of the Participant’s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may exercise his or her Option within twelve (12) months of cessation, or such longer or shorter period of time as may be specified in the Award Agreement (but in no event later than the expiration of the term of such Option as set forth in the Award Agreement or Section 6.4, as applicable). However,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herein, such Options will terminate, and the Shares covered by such Award will revert to the Plan.</w:t>
      </w:r>
    </w:p>
    <w:p>
      <w:pPr>
        <w:spacing w:after="0" w:line="162" w:lineRule="exact"/>
        <w:rPr>
          <w:sz w:val="20"/>
          <w:szCs w:val="20"/>
          <w:color w:val="auto"/>
        </w:rPr>
      </w:pPr>
    </w:p>
    <w:p>
      <w:pPr>
        <w:ind w:left="1264" w:right="60" w:hanging="539"/>
        <w:spacing w:after="0" w:line="248" w:lineRule="auto"/>
        <w:tabs>
          <w:tab w:leader="none" w:pos="1244" w:val="left"/>
        </w:tabs>
        <w:rPr>
          <w:sz w:val="20"/>
          <w:szCs w:val="20"/>
          <w:color w:val="auto"/>
        </w:rPr>
      </w:pPr>
      <w:r>
        <w:rPr>
          <w:rFonts w:ascii="Arial" w:cs="Arial" w:eastAsia="Arial" w:hAnsi="Arial"/>
          <w:sz w:val="16"/>
          <w:szCs w:val="16"/>
          <w:color w:val="auto"/>
        </w:rPr>
        <w:t>6.6.4</w:t>
      </w:r>
      <w:r>
        <w:rPr>
          <w:sz w:val="20"/>
          <w:szCs w:val="20"/>
          <w:color w:val="auto"/>
        </w:rPr>
        <w:tab/>
      </w:r>
      <w:r>
        <w:rPr>
          <w:rFonts w:ascii="Arial" w:cs="Arial" w:eastAsia="Arial" w:hAnsi="Arial"/>
          <w:sz w:val="16"/>
          <w:szCs w:val="16"/>
          <w:b w:val="1"/>
          <w:bCs w:val="1"/>
          <w:color w:val="auto"/>
        </w:rPr>
        <w:t>Death of Participant</w:t>
      </w:r>
      <w:r>
        <w:rPr>
          <w:rFonts w:ascii="Arial" w:cs="Arial" w:eastAsia="Arial" w:hAnsi="Arial"/>
          <w:sz w:val="16"/>
          <w:szCs w:val="16"/>
          <w:color w:val="auto"/>
        </w:rPr>
        <w:t>. If a Participant dies while a Service Provider, his or her Option may be exercised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following the Participant’s death, or within such longer or shorter period of time as may be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16"/>
          <w:szCs w:val="16"/>
          <w:b w:val="1"/>
          <w:bCs w:val="1"/>
          <w:color w:val="auto"/>
        </w:rPr>
        <w:t>Legal Representative</w:t>
      </w:r>
      <w:r>
        <w:rPr>
          <w:rFonts w:ascii="Arial" w:cs="Arial" w:eastAsia="Arial" w:hAnsi="Arial"/>
          <w:sz w:val="16"/>
          <w:szCs w:val="16"/>
          <w:color w:val="auto"/>
        </w:rPr>
        <w:t>”). If the Option is exercised pursuant to this Section</w:t>
      </w:r>
    </w:p>
    <w:p>
      <w:pPr>
        <w:spacing w:after="0" w:line="6" w:lineRule="exact"/>
        <w:rPr>
          <w:sz w:val="20"/>
          <w:szCs w:val="20"/>
          <w:color w:val="auto"/>
        </w:rPr>
      </w:pPr>
    </w:p>
    <w:p>
      <w:pPr>
        <w:ind w:left="1264" w:right="80"/>
        <w:spacing w:after="0" w:line="249" w:lineRule="auto"/>
        <w:rPr>
          <w:sz w:val="20"/>
          <w:szCs w:val="20"/>
          <w:color w:val="auto"/>
        </w:rPr>
      </w:pPr>
      <w:r>
        <w:rPr>
          <w:rFonts w:ascii="Arial" w:cs="Arial" w:eastAsia="Arial" w:hAnsi="Arial"/>
          <w:sz w:val="16"/>
          <w:szCs w:val="16"/>
          <w:color w:val="auto"/>
        </w:rPr>
        <w:t>6.6.4, Participant’s designated beneficiary or Legal Representative shall be subject to the terms of the Plan and the Award Agreement, including but not limited to the restrictions on transferability and forfeitability applicable to the Service Provider. However, unless otherwise provided by the Administrator or set forth in the Award Agreement or other written agreement authorized by the Administrator between the Participant and the Company or any of its Subsidiaries or Parents, as applicable, if at the time of death a Participant is not vested as to his or her entire Award, the Shares covered by the unvested portion of the Award will revert to the Plan immediately. If vested Options are not so exercised within the time specified herein, such Options will terminate, and the Shares covered by such Award will revert to the Plan.</w:t>
      </w:r>
    </w:p>
    <w:p>
      <w:pPr>
        <w:spacing w:after="0" w:line="144" w:lineRule="exact"/>
        <w:rPr>
          <w:sz w:val="20"/>
          <w:szCs w:val="20"/>
          <w:color w:val="auto"/>
        </w:rPr>
      </w:pPr>
    </w:p>
    <w:p>
      <w:pPr>
        <w:ind w:left="724"/>
        <w:spacing w:after="0"/>
        <w:tabs>
          <w:tab w:leader="none" w:pos="1244" w:val="left"/>
        </w:tabs>
        <w:rPr>
          <w:sz w:val="20"/>
          <w:szCs w:val="20"/>
          <w:color w:val="auto"/>
        </w:rPr>
      </w:pPr>
      <w:r>
        <w:rPr>
          <w:rFonts w:ascii="Arial" w:cs="Arial" w:eastAsia="Arial" w:hAnsi="Arial"/>
          <w:sz w:val="16"/>
          <w:szCs w:val="16"/>
          <w:color w:val="auto"/>
        </w:rPr>
        <w:t>6.6.5</w:t>
      </w:r>
      <w:r>
        <w:rPr>
          <w:sz w:val="20"/>
          <w:szCs w:val="20"/>
          <w:color w:val="auto"/>
        </w:rPr>
        <w:tab/>
      </w:r>
      <w:r>
        <w:rPr>
          <w:rFonts w:ascii="Arial" w:cs="Arial" w:eastAsia="Arial" w:hAnsi="Arial"/>
          <w:sz w:val="16"/>
          <w:szCs w:val="16"/>
          <w:b w:val="1"/>
          <w:bCs w:val="1"/>
          <w:color w:val="auto"/>
        </w:rPr>
        <w:t>Tolling Expiration</w:t>
      </w:r>
      <w:r>
        <w:rPr>
          <w:rFonts w:ascii="Arial" w:cs="Arial" w:eastAsia="Arial" w:hAnsi="Arial"/>
          <w:sz w:val="16"/>
          <w:szCs w:val="16"/>
          <w:color w:val="auto"/>
        </w:rPr>
        <w:t>. A Participant’s Award Agreement may also provide that:</w:t>
      </w:r>
    </w:p>
    <w:p>
      <w:pPr>
        <w:spacing w:after="0" w:line="181" w:lineRule="exact"/>
        <w:rPr>
          <w:sz w:val="20"/>
          <w:szCs w:val="20"/>
          <w:color w:val="auto"/>
        </w:rPr>
      </w:pPr>
    </w:p>
    <w:p>
      <w:pPr>
        <w:ind w:left="1604" w:right="20" w:hanging="344"/>
        <w:spacing w:after="0" w:line="267" w:lineRule="auto"/>
        <w:tabs>
          <w:tab w:leader="none" w:pos="16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after the last date on which such exercise would result in liability under Section 16b; or</w:t>
      </w:r>
    </w:p>
    <w:p>
      <w:pPr>
        <w:spacing w:after="0" w:line="38" w:lineRule="exact"/>
        <w:rPr>
          <w:rFonts w:ascii="Arial" w:cs="Arial" w:eastAsia="Arial" w:hAnsi="Arial"/>
          <w:sz w:val="16"/>
          <w:szCs w:val="16"/>
          <w:color w:val="auto"/>
        </w:rPr>
      </w:pPr>
    </w:p>
    <w:p>
      <w:pPr>
        <w:ind w:left="1604" w:right="40" w:hanging="344"/>
        <w:spacing w:after="0" w:line="254" w:lineRule="auto"/>
        <w:tabs>
          <w:tab w:leader="none" w:pos="16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tock</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ppreciation</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ights</w:t>
      </w:r>
      <w:r>
        <w:rPr>
          <w:rFonts w:ascii="Arial" w:cs="Arial" w:eastAsia="Arial" w:hAnsi="Arial"/>
          <w:sz w:val="16"/>
          <w:szCs w:val="16"/>
          <w:color w:val="auto"/>
        </w:rPr>
        <w:t>.</w:t>
      </w:r>
    </w:p>
    <w:p>
      <w:pPr>
        <w:spacing w:after="0" w:line="181" w:lineRule="exact"/>
        <w:rPr>
          <w:sz w:val="20"/>
          <w:szCs w:val="20"/>
          <w:color w:val="auto"/>
        </w:rPr>
      </w:pPr>
    </w:p>
    <w:p>
      <w:pPr>
        <w:ind w:left="704" w:right="140" w:hanging="350"/>
        <w:spacing w:after="0" w:line="26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Grant of Stock Appreciation Rights</w:t>
      </w:r>
      <w:r>
        <w:rPr>
          <w:rFonts w:ascii="Arial" w:cs="Arial" w:eastAsia="Arial" w:hAnsi="Arial"/>
          <w:sz w:val="16"/>
          <w:szCs w:val="16"/>
          <w:color w:val="auto"/>
        </w:rPr>
        <w:t>. Subject to the terms and conditions of the Plan, a Stock Appreciation Right may be granted to Service Providers at any time and from time to time as may be determined by the Administrator,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186055</wp:posOffset>
            </wp:positionV>
            <wp:extent cx="62611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200660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13" w:name="page14"/>
    <w:bookmarkEnd w:id="13"/>
    <w:p>
      <w:pPr>
        <w:ind w:left="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704" w:right="400" w:hanging="350"/>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Number of Shares</w:t>
      </w:r>
      <w:r>
        <w:rPr>
          <w:rFonts w:ascii="Arial" w:cs="Arial" w:eastAsia="Arial" w:hAnsi="Arial"/>
          <w:sz w:val="16"/>
          <w:szCs w:val="16"/>
          <w:color w:val="auto"/>
        </w:rPr>
        <w:t>. Subject to the terms and conditions of the Plan, the Administrator will have complete discretion to determine the number of Shares subject to any Award of Stock Appreciation Rights.</w:t>
      </w:r>
    </w:p>
    <w:p>
      <w:pPr>
        <w:spacing w:after="0" w:line="115" w:lineRule="exact"/>
        <w:rPr>
          <w:sz w:val="20"/>
          <w:szCs w:val="20"/>
          <w:color w:val="auto"/>
        </w:rPr>
      </w:pPr>
    </w:p>
    <w:p>
      <w:pPr>
        <w:ind w:left="704" w:right="20" w:hanging="350"/>
        <w:spacing w:after="0" w:line="25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Exercise Price and Other Terms</w:t>
      </w:r>
      <w:r>
        <w:rPr>
          <w:rFonts w:ascii="Arial" w:cs="Arial" w:eastAsia="Arial" w:hAnsi="Arial"/>
          <w:sz w:val="16"/>
          <w:szCs w:val="16"/>
          <w:color w:val="auto"/>
        </w:rPr>
        <w:t>. The per-Share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Notwithstanding the foregoing, Stock Appreciation Rights may be granted with a per-Share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spacing w:after="0" w:line="154" w:lineRule="exact"/>
        <w:rPr>
          <w:sz w:val="20"/>
          <w:szCs w:val="20"/>
          <w:color w:val="auto"/>
        </w:rPr>
      </w:pPr>
    </w:p>
    <w:p>
      <w:pPr>
        <w:ind w:left="704" w:hanging="350"/>
        <w:spacing w:after="0" w:line="26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Stock Appreciation Right Agreement</w:t>
      </w:r>
      <w:r>
        <w:rPr>
          <w:rFonts w:ascii="Arial" w:cs="Arial" w:eastAsia="Arial" w:hAnsi="Arial"/>
          <w:sz w:val="16"/>
          <w:szCs w:val="16"/>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may determine.</w:t>
      </w:r>
    </w:p>
    <w:p>
      <w:pPr>
        <w:spacing w:after="0" w:line="131" w:lineRule="exact"/>
        <w:rPr>
          <w:sz w:val="20"/>
          <w:szCs w:val="20"/>
          <w:color w:val="auto"/>
        </w:rPr>
      </w:pPr>
    </w:p>
    <w:p>
      <w:pPr>
        <w:ind w:left="704" w:right="20" w:hanging="350"/>
        <w:spacing w:after="0" w:line="25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Term and Expiration of Stock Appreciation Rights</w:t>
      </w:r>
      <w:r>
        <w:rPr>
          <w:rFonts w:ascii="Arial" w:cs="Arial" w:eastAsia="Arial" w:hAnsi="Arial"/>
          <w:sz w:val="16"/>
          <w:szCs w:val="16"/>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37" w:lineRule="exact"/>
        <w:rPr>
          <w:sz w:val="20"/>
          <w:szCs w:val="20"/>
          <w:color w:val="auto"/>
        </w:rPr>
      </w:pPr>
    </w:p>
    <w:p>
      <w:pPr>
        <w:ind w:left="704" w:right="20" w:hanging="350"/>
        <w:spacing w:after="0" w:line="28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color w:val="auto"/>
        </w:rPr>
        <w:t>Payment of Stock Appreciation Right Amount</w:t>
      </w:r>
      <w:r>
        <w:rPr>
          <w:rFonts w:ascii="Arial" w:cs="Arial" w:eastAsia="Arial" w:hAnsi="Arial"/>
          <w:sz w:val="16"/>
          <w:szCs w:val="16"/>
          <w:color w:val="auto"/>
        </w:rPr>
        <w:t>. Upon exercise of a Stock Appreciation Right, a Participant will be entitled to receive payment from the Company in an amount determined by multiplying:</w:t>
      </w:r>
    </w:p>
    <w:p>
      <w:pPr>
        <w:spacing w:after="0" w:line="129" w:lineRule="exact"/>
        <w:rPr>
          <w:sz w:val="20"/>
          <w:szCs w:val="20"/>
          <w:color w:val="auto"/>
        </w:rPr>
      </w:pPr>
    </w:p>
    <w:p>
      <w:pPr>
        <w:ind w:left="1064" w:hanging="344"/>
        <w:spacing w:after="0"/>
        <w:tabs>
          <w:tab w:leader="none" w:pos="10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difference between the Fair Market Value of a Share on the date of exercise over the exercise price; times</w:t>
      </w:r>
    </w:p>
    <w:p>
      <w:pPr>
        <w:spacing w:after="0" w:line="180" w:lineRule="exact"/>
        <w:rPr>
          <w:rFonts w:ascii="Arial" w:cs="Arial" w:eastAsia="Arial" w:hAnsi="Arial"/>
          <w:sz w:val="16"/>
          <w:szCs w:val="16"/>
          <w:color w:val="auto"/>
        </w:rPr>
      </w:pPr>
    </w:p>
    <w:p>
      <w:pPr>
        <w:ind w:left="1064" w:hanging="344"/>
        <w:spacing w:after="0"/>
        <w:tabs>
          <w:tab w:leader="none" w:pos="10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Shares with respect to which the Stock Appreciation Right is exercised.</w:t>
      </w:r>
    </w:p>
    <w:p>
      <w:pPr>
        <w:spacing w:after="0" w:line="181" w:lineRule="exact"/>
        <w:rPr>
          <w:sz w:val="20"/>
          <w:szCs w:val="20"/>
          <w:color w:val="auto"/>
        </w:rPr>
      </w:pPr>
    </w:p>
    <w:p>
      <w:pPr>
        <w:ind w:left="724" w:right="100"/>
        <w:spacing w:after="0" w:line="286" w:lineRule="auto"/>
        <w:rPr>
          <w:sz w:val="20"/>
          <w:szCs w:val="20"/>
          <w:color w:val="auto"/>
        </w:rPr>
      </w:pPr>
      <w:r>
        <w:rPr>
          <w:rFonts w:ascii="Arial" w:cs="Arial" w:eastAsia="Arial" w:hAnsi="Arial"/>
          <w:sz w:val="16"/>
          <w:szCs w:val="16"/>
          <w:color w:val="auto"/>
        </w:rPr>
        <w:t>At the discretion of the Administrator, such payment may be in cash, in Shares of equivalent value or in some combination thereof.</w:t>
      </w:r>
    </w:p>
    <w:p>
      <w:pPr>
        <w:spacing w:after="0" w:line="129" w:lineRule="exact"/>
        <w:rPr>
          <w:sz w:val="20"/>
          <w:szCs w:val="20"/>
          <w:color w:val="auto"/>
        </w:rPr>
      </w:pPr>
    </w:p>
    <w:p>
      <w:pPr>
        <w:ind w:left="344" w:hanging="344"/>
        <w:spacing w:after="0"/>
        <w:tabs>
          <w:tab w:leader="none" w:pos="344"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estricted</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6"/>
          <w:szCs w:val="16"/>
          <w:color w:val="auto"/>
        </w:rPr>
        <w:t>.</w:t>
      </w:r>
    </w:p>
    <w:p>
      <w:pPr>
        <w:spacing w:after="0" w:line="181" w:lineRule="exact"/>
        <w:rPr>
          <w:sz w:val="20"/>
          <w:szCs w:val="20"/>
          <w:color w:val="auto"/>
        </w:rPr>
      </w:pPr>
    </w:p>
    <w:p>
      <w:pPr>
        <w:jc w:val="both"/>
        <w:ind w:left="704" w:hanging="350"/>
        <w:spacing w:after="0" w:line="26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Grant of Restricted Stock</w:t>
      </w:r>
      <w:r>
        <w:rPr>
          <w:rFonts w:ascii="Arial" w:cs="Arial" w:eastAsia="Arial" w:hAnsi="Arial"/>
          <w:sz w:val="16"/>
          <w:szCs w:val="16"/>
          <w:color w:val="auto"/>
        </w:rPr>
        <w:t>. Subject to the terms and conditions of the Plan, the Administrator, at any time and from time to time, may grant Shares of Restricted Stock to Service Providers in such amounts as the Administrator, in its sole discretion, may determine.</w:t>
      </w:r>
    </w:p>
    <w:p>
      <w:pPr>
        <w:spacing w:after="0" w:line="131" w:lineRule="exact"/>
        <w:rPr>
          <w:sz w:val="20"/>
          <w:szCs w:val="20"/>
          <w:color w:val="auto"/>
        </w:rPr>
      </w:pPr>
    </w:p>
    <w:p>
      <w:pPr>
        <w:ind w:left="704" w:hanging="350"/>
        <w:spacing w:after="0" w:line="25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(if any), the number of Shares granted and such other terms and conditions as the Administrator, in its sole discretion, may determine. Unless the Administrator determines otherwise, the Company as escrow agent will hold Shares of Restricted Stock until the restrictions on such Shares have lapsed. For purposes of clarity, the Administrator, in its sole discretion, may determine that an Award of Restricted Stock will not be subject to any Period of Restriction and consideration for such Award is paid for by past services rendered as a Service Provider.</w:t>
      </w:r>
    </w:p>
    <w:p>
      <w:pPr>
        <w:spacing w:after="0" w:line="155" w:lineRule="exact"/>
        <w:rPr>
          <w:sz w:val="20"/>
          <w:szCs w:val="20"/>
          <w:color w:val="auto"/>
        </w:rPr>
      </w:pPr>
    </w:p>
    <w:p>
      <w:pPr>
        <w:ind w:left="704" w:right="280" w:hanging="350"/>
        <w:spacing w:after="0" w:line="26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Transferability</w:t>
      </w:r>
      <w:r>
        <w:rPr>
          <w:rFonts w:ascii="Arial" w:cs="Arial" w:eastAsia="Arial" w:hAnsi="Arial"/>
          <w:sz w:val="16"/>
          <w:szCs w:val="16"/>
          <w:color w:val="auto"/>
        </w:rPr>
        <w:t>. Except as provided in this Section 8 or as the Administrator may determine, Shares of Restricted Stock may not be sold, transferred, pledged, assigned or otherwise alienated or hypothecated until the end of the applicable Period of Restriction, subject to the terms of Section 14.</w:t>
      </w:r>
    </w:p>
    <w:p>
      <w:pPr>
        <w:spacing w:after="0" w:line="131" w:lineRule="exact"/>
        <w:rPr>
          <w:sz w:val="20"/>
          <w:szCs w:val="20"/>
          <w:color w:val="auto"/>
        </w:rPr>
      </w:pPr>
    </w:p>
    <w:p>
      <w:pPr>
        <w:ind w:left="704" w:right="220" w:hanging="350"/>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Other Restrictions</w:t>
      </w:r>
      <w:r>
        <w:rPr>
          <w:rFonts w:ascii="Arial" w:cs="Arial" w:eastAsia="Arial" w:hAnsi="Arial"/>
          <w:sz w:val="16"/>
          <w:szCs w:val="16"/>
          <w:color w:val="auto"/>
        </w:rPr>
        <w:t>. The Administrator, in its sole discretion, may impose such other restrictions on Shares of Restricted Stock as it may deem advisable or appropriate.</w:t>
      </w:r>
    </w:p>
    <w:p>
      <w:pPr>
        <w:spacing w:after="0" w:line="115" w:lineRule="exact"/>
        <w:rPr>
          <w:sz w:val="20"/>
          <w:szCs w:val="20"/>
          <w:color w:val="auto"/>
        </w:rPr>
      </w:pPr>
    </w:p>
    <w:p>
      <w:pPr>
        <w:ind w:left="704" w:right="260" w:hanging="350"/>
        <w:spacing w:after="0" w:line="25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1" w:lineRule="exact"/>
        <w:rPr>
          <w:sz w:val="20"/>
          <w:szCs w:val="20"/>
          <w:color w:val="auto"/>
        </w:rPr>
      </w:pPr>
    </w:p>
    <w:p>
      <w:pPr>
        <w:ind w:left="704" w:right="180" w:hanging="350"/>
        <w:spacing w:after="0" w:line="28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Voting Rights</w:t>
      </w:r>
      <w:r>
        <w:rPr>
          <w:rFonts w:ascii="Arial" w:cs="Arial" w:eastAsia="Arial" w:hAnsi="Arial"/>
          <w:sz w:val="16"/>
          <w:szCs w:val="16"/>
          <w:color w:val="auto"/>
        </w:rPr>
        <w:t>. During the Period of Restriction, Service Providers holding Shares of Restricted Stock granted hereunder may exercise full voting rights with respect to those Shares, unless the Administrator determines otherwise.</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A-10 </w:t>
      </w:r>
      <w:r>
        <w:rPr>
          <w:sz w:val="1"/>
          <w:szCs w:val="1"/>
          <w:color w:val="auto"/>
        </w:rPr>
        <w:drawing>
          <wp:inline distT="0" distB="0" distL="0" distR="0">
            <wp:extent cx="625475" cy="196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5475" cy="1968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146050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25" w:right="1199" w:bottom="1440" w:gutter="0" w:footer="0" w:header="0"/>
        </w:sectPr>
      </w:pPr>
    </w:p>
    <w:bookmarkStart w:id="14" w:name="page15"/>
    <w:bookmarkEnd w:id="14"/>
    <w:p>
      <w:pPr>
        <w:ind w:left="866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704" w:right="240" w:hanging="350"/>
        <w:spacing w:after="0" w:line="286"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Return of Restricted Stock to Company</w:t>
      </w:r>
      <w:r>
        <w:rPr>
          <w:rFonts w:ascii="Arial" w:cs="Arial" w:eastAsia="Arial" w:hAnsi="Arial"/>
          <w:sz w:val="16"/>
          <w:szCs w:val="16"/>
          <w:color w:val="auto"/>
        </w:rPr>
        <w:t>. On the date set forth in the Award Agreement, the Restricted Stock for which restrictions have not lapsed will revert to the Company and again will become available for grant under the Plan.</w:t>
      </w:r>
    </w:p>
    <w:p>
      <w:pPr>
        <w:spacing w:after="0" w:line="115" w:lineRule="exact"/>
        <w:rPr>
          <w:sz w:val="20"/>
          <w:szCs w:val="20"/>
          <w:color w:val="auto"/>
        </w:rPr>
      </w:pPr>
    </w:p>
    <w:p>
      <w:pPr>
        <w:ind w:left="344" w:hanging="344"/>
        <w:spacing w:after="0"/>
        <w:tabs>
          <w:tab w:leader="none" w:pos="344"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estricted</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6"/>
          <w:szCs w:val="16"/>
          <w:b w:val="1"/>
          <w:bCs w:val="1"/>
          <w:color w:val="auto"/>
        </w:rPr>
        <w:t xml:space="preserve"> U</w:t>
      </w:r>
      <w:r>
        <w:rPr>
          <w:rFonts w:ascii="Arial" w:cs="Arial" w:eastAsia="Arial" w:hAnsi="Arial"/>
          <w:sz w:val="10"/>
          <w:szCs w:val="10"/>
          <w:b w:val="1"/>
          <w:bCs w:val="1"/>
          <w:color w:val="auto"/>
        </w:rPr>
        <w:t>nits</w:t>
      </w:r>
      <w:r>
        <w:rPr>
          <w:rFonts w:ascii="Arial" w:cs="Arial" w:eastAsia="Arial" w:hAnsi="Arial"/>
          <w:sz w:val="16"/>
          <w:szCs w:val="16"/>
          <w:color w:val="auto"/>
        </w:rPr>
        <w:t>.</w:t>
      </w:r>
    </w:p>
    <w:p>
      <w:pPr>
        <w:spacing w:after="0" w:line="194" w:lineRule="exact"/>
        <w:rPr>
          <w:sz w:val="20"/>
          <w:szCs w:val="20"/>
          <w:color w:val="auto"/>
        </w:rPr>
      </w:pPr>
    </w:p>
    <w:p>
      <w:pPr>
        <w:ind w:left="704" w:right="60" w:hanging="350"/>
        <w:spacing w:after="0" w:line="26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Grant</w:t>
      </w:r>
      <w:r>
        <w:rPr>
          <w:rFonts w:ascii="Arial" w:cs="Arial" w:eastAsia="Arial" w:hAnsi="Arial"/>
          <w:sz w:val="16"/>
          <w:szCs w:val="16"/>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31" w:lineRule="exact"/>
        <w:rPr>
          <w:sz w:val="20"/>
          <w:szCs w:val="20"/>
          <w:color w:val="auto"/>
        </w:rPr>
      </w:pPr>
    </w:p>
    <w:p>
      <w:pPr>
        <w:ind w:left="704" w:right="40" w:hanging="350"/>
        <w:spacing w:after="0" w:line="25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Vesting Criteria and Other Terms</w:t>
      </w:r>
      <w:r>
        <w:rPr>
          <w:rFonts w:ascii="Arial" w:cs="Arial" w:eastAsia="Arial" w:hAnsi="Arial"/>
          <w:sz w:val="16"/>
          <w:szCs w:val="16"/>
          <w:color w:val="auto"/>
        </w:rPr>
        <w:t>. The Administrator will set vesting criteria in its discretion that,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For purposes of clarity, the Administrator, in its sole discretion, may determine that an Award of Restricted Stock Units will not be subject to any vesting criteria and consideration for such Award is paid for by past services rendered as a Service Provider.</w:t>
      </w:r>
    </w:p>
    <w:p>
      <w:pPr>
        <w:spacing w:after="0" w:line="141" w:lineRule="exact"/>
        <w:rPr>
          <w:sz w:val="20"/>
          <w:szCs w:val="20"/>
          <w:color w:val="auto"/>
        </w:rPr>
      </w:pPr>
    </w:p>
    <w:p>
      <w:pPr>
        <w:ind w:left="704" w:right="160" w:hanging="350"/>
        <w:spacing w:after="0" w:line="25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Earning Restricted Stock Units</w:t>
      </w:r>
      <w:r>
        <w:rPr>
          <w:rFonts w:ascii="Arial" w:cs="Arial" w:eastAsia="Arial" w:hAnsi="Arial"/>
          <w:sz w:val="16"/>
          <w:szCs w:val="16"/>
          <w:color w:val="auto"/>
        </w:rPr>
        <w:t>. Upon meeting the applicable vesting criteria, the Participant will be entitled to receive a payout as set forth in the Award Agreement. Notwithstanding the foregoing, at any time after the grant of Restricted Stock Units, the Administrator, in its sole discretion, may reduce or waive any vesting criteria that must be met to receive a payout.</w:t>
      </w:r>
    </w:p>
    <w:p>
      <w:pPr>
        <w:spacing w:after="0" w:line="151" w:lineRule="exact"/>
        <w:rPr>
          <w:sz w:val="20"/>
          <w:szCs w:val="20"/>
          <w:color w:val="auto"/>
        </w:rPr>
      </w:pPr>
    </w:p>
    <w:p>
      <w:pPr>
        <w:ind w:left="704" w:right="20" w:hanging="350"/>
        <w:spacing w:after="0" w:line="26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auto"/>
        </w:rPr>
        <w:t>Form and Timing of Payment</w:t>
      </w:r>
      <w:r>
        <w:rPr>
          <w:rFonts w:ascii="Arial" w:cs="Arial" w:eastAsia="Arial" w:hAnsi="Arial"/>
          <w:sz w:val="16"/>
          <w:szCs w:val="16"/>
          <w:color w:val="auto"/>
        </w:rPr>
        <w:t>. Payment of earned Restricted Stock Units will be made at the time(s) set forth in the Award Agreement. The Administrator, in its sole discretion, may settle earned Restricted Stock Units in cash, Shares or a combination of both.</w:t>
      </w:r>
    </w:p>
    <w:p>
      <w:pPr>
        <w:spacing w:after="0" w:line="131" w:lineRule="exact"/>
        <w:rPr>
          <w:sz w:val="20"/>
          <w:szCs w:val="20"/>
          <w:color w:val="auto"/>
        </w:rPr>
      </w:pPr>
    </w:p>
    <w:p>
      <w:pPr>
        <w:ind w:left="704" w:right="540" w:hanging="350"/>
        <w:spacing w:after="0" w:line="28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Cancellation</w:t>
      </w:r>
      <w:r>
        <w:rPr>
          <w:rFonts w:ascii="Arial" w:cs="Arial" w:eastAsia="Arial" w:hAnsi="Arial"/>
          <w:sz w:val="16"/>
          <w:szCs w:val="16"/>
          <w:color w:val="auto"/>
        </w:rPr>
        <w:t>. On the date set forth in the Award Agreement, all unearned or unvested Restricted Stock Units will be forfeited to the Company.</w:t>
      </w:r>
    </w:p>
    <w:p>
      <w:pPr>
        <w:spacing w:after="0" w:line="115" w:lineRule="exact"/>
        <w:rPr>
          <w:sz w:val="20"/>
          <w:szCs w:val="20"/>
          <w:color w:val="auto"/>
        </w:rPr>
      </w:pPr>
    </w:p>
    <w:p>
      <w:pPr>
        <w:ind w:left="344" w:hanging="344"/>
        <w:spacing w:after="0"/>
        <w:tabs>
          <w:tab w:leader="none" w:pos="344"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erformance</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wards</w:t>
      </w:r>
      <w:r>
        <w:rPr>
          <w:rFonts w:ascii="Arial" w:cs="Arial" w:eastAsia="Arial" w:hAnsi="Arial"/>
          <w:sz w:val="16"/>
          <w:szCs w:val="16"/>
          <w:color w:val="auto"/>
        </w:rPr>
        <w:t>.</w:t>
      </w:r>
    </w:p>
    <w:p>
      <w:pPr>
        <w:spacing w:after="0" w:line="194" w:lineRule="exact"/>
        <w:rPr>
          <w:sz w:val="20"/>
          <w:szCs w:val="20"/>
          <w:color w:val="auto"/>
        </w:rPr>
      </w:pPr>
    </w:p>
    <w:p>
      <w:pPr>
        <w:jc w:val="both"/>
        <w:ind w:left="704" w:right="180" w:hanging="350"/>
        <w:spacing w:after="0" w:line="25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Award Agreement</w:t>
      </w:r>
      <w:r>
        <w:rPr>
          <w:rFonts w:ascii="Arial" w:cs="Arial" w:eastAsia="Arial" w:hAnsi="Arial"/>
          <w:sz w:val="16"/>
          <w:szCs w:val="16"/>
          <w:color w:val="auto"/>
        </w:rPr>
        <w:t>. Each Performance Award will be evidenced by an Award Agreement that will specify any time period during which any performance objectives or other vesting provisions will be measured (“</w:t>
      </w:r>
      <w:r>
        <w:rPr>
          <w:rFonts w:ascii="Arial" w:cs="Arial" w:eastAsia="Arial" w:hAnsi="Arial"/>
          <w:sz w:val="16"/>
          <w:szCs w:val="16"/>
          <w:b w:val="1"/>
          <w:bCs w:val="1"/>
          <w:color w:val="auto"/>
        </w:rPr>
        <w:t>Performance Period</w:t>
      </w:r>
      <w:r>
        <w:rPr>
          <w:rFonts w:ascii="Arial" w:cs="Arial" w:eastAsia="Arial" w:hAnsi="Arial"/>
          <w:sz w:val="16"/>
          <w:szCs w:val="16"/>
          <w:color w:val="auto"/>
        </w:rPr>
        <w:t>”), and such other terms and conditions as the Administrator may determine. Each Performance Award will have an initial value that is determined by the Administrator on or before its date of grant.</w:t>
      </w:r>
    </w:p>
    <w:p>
      <w:pPr>
        <w:spacing w:after="0" w:line="137" w:lineRule="exact"/>
        <w:rPr>
          <w:sz w:val="20"/>
          <w:szCs w:val="20"/>
          <w:color w:val="auto"/>
        </w:rPr>
      </w:pPr>
    </w:p>
    <w:p>
      <w:pPr>
        <w:ind w:left="704" w:right="140" w:hanging="350"/>
        <w:spacing w:after="0" w:line="25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Objectives or Vesting Provisions and Other Terms.</w:t>
      </w:r>
      <w:r>
        <w:rPr>
          <w:rFonts w:ascii="Arial" w:cs="Arial" w:eastAsia="Arial" w:hAnsi="Arial"/>
          <w:sz w:val="16"/>
          <w:szCs w:val="16"/>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39" w:lineRule="exact"/>
        <w:rPr>
          <w:sz w:val="20"/>
          <w:szCs w:val="20"/>
          <w:color w:val="auto"/>
        </w:rPr>
      </w:pPr>
    </w:p>
    <w:p>
      <w:pPr>
        <w:ind w:left="704" w:hanging="350"/>
        <w:spacing w:after="0" w:line="259"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Earning Performance Awards</w:t>
      </w:r>
      <w:r>
        <w:rPr>
          <w:rFonts w:ascii="Arial" w:cs="Arial" w:eastAsia="Arial" w:hAnsi="Arial"/>
          <w:sz w:val="16"/>
          <w:szCs w:val="16"/>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51" w:lineRule="exact"/>
        <w:rPr>
          <w:sz w:val="20"/>
          <w:szCs w:val="20"/>
          <w:color w:val="auto"/>
        </w:rPr>
      </w:pPr>
    </w:p>
    <w:p>
      <w:pPr>
        <w:ind w:left="704" w:right="100" w:hanging="350"/>
        <w:spacing w:after="0" w:line="26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Form and Timing of Payment</w:t>
      </w:r>
      <w:r>
        <w:rPr>
          <w:rFonts w:ascii="Arial" w:cs="Arial" w:eastAsia="Arial" w:hAnsi="Arial"/>
          <w:sz w:val="16"/>
          <w:szCs w:val="16"/>
          <w:color w:val="auto"/>
        </w:rPr>
        <w:t>. Payment of earned Performance Awards will be made at the time(s) set forth in the Award Agreement. The Administrator, in its sole discretion, may settle earned Performance Awards in cash, Shares or a combination of both.</w:t>
      </w:r>
    </w:p>
    <w:p>
      <w:pPr>
        <w:spacing w:after="0" w:line="131" w:lineRule="exact"/>
        <w:rPr>
          <w:sz w:val="20"/>
          <w:szCs w:val="20"/>
          <w:color w:val="auto"/>
        </w:rPr>
      </w:pPr>
    </w:p>
    <w:p>
      <w:pPr>
        <w:ind w:left="704" w:right="800" w:hanging="350"/>
        <w:spacing w:after="0" w:line="28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Cancellation of Performance Awards</w:t>
      </w:r>
      <w:r>
        <w:rPr>
          <w:rFonts w:ascii="Arial" w:cs="Arial" w:eastAsia="Arial" w:hAnsi="Arial"/>
          <w:sz w:val="16"/>
          <w:szCs w:val="16"/>
          <w:color w:val="auto"/>
        </w:rPr>
        <w:t>. On the date set forth in the Award Agreement, all unearned or unvested Performance Awards will be forfeited to the Company, and again will be available for grant under the Plan.</w:t>
      </w:r>
    </w:p>
    <w:p>
      <w:pPr>
        <w:spacing w:after="0" w:line="115" w:lineRule="exact"/>
        <w:rPr>
          <w:sz w:val="20"/>
          <w:szCs w:val="20"/>
          <w:color w:val="auto"/>
        </w:rPr>
      </w:pPr>
    </w:p>
    <w:p>
      <w:pPr>
        <w:ind w:left="344" w:right="80" w:hanging="344"/>
        <w:spacing w:after="0" w:line="256" w:lineRule="auto"/>
        <w:tabs>
          <w:tab w:leader="none" w:pos="344"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0"/>
          <w:szCs w:val="10"/>
          <w:b w:val="1"/>
          <w:bCs w:val="1"/>
          <w:color w:val="auto"/>
        </w:rPr>
        <w:t>ith</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The Plan and Awards issued hereunder are intended to be designed and operated in such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expressly determined otherwise by the Administrator, each payment or benefit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191770</wp:posOffset>
            </wp:positionV>
            <wp:extent cx="62611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200660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15" w:name="page16"/>
    <w:bookmarkEnd w:id="15"/>
    <w:p>
      <w:pPr>
        <w:ind w:left="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364" w:right="40"/>
        <w:spacing w:after="0" w:line="250" w:lineRule="auto"/>
        <w:rPr>
          <w:sz w:val="20"/>
          <w:szCs w:val="20"/>
          <w:color w:val="auto"/>
        </w:rPr>
      </w:pPr>
      <w:r>
        <w:rPr>
          <w:rFonts w:ascii="Arial" w:cs="Arial" w:eastAsia="Arial" w:hAnsi="Arial"/>
          <w:sz w:val="16"/>
          <w:szCs w:val="16"/>
          <w:color w:val="auto"/>
        </w:rPr>
        <w:t>the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foregoing, in no event will the Company or any of its Parents or Subsidiaries have any responsibility, liability or obligation to reimburse, indemnify or hold harmless a Participant (or any other person) in respect of Awards, for any taxes, penalties or interest that may be imposed on, or other costs incurred by, a Participant (or any other person) as a result of or in connection with Section 409A.</w:t>
      </w:r>
    </w:p>
    <w:p>
      <w:pPr>
        <w:spacing w:after="0" w:line="146" w:lineRule="exact"/>
        <w:rPr>
          <w:sz w:val="20"/>
          <w:szCs w:val="20"/>
          <w:color w:val="auto"/>
        </w:rPr>
      </w:pPr>
    </w:p>
    <w:p>
      <w:pPr>
        <w:ind w:left="344" w:hanging="344"/>
        <w:spacing w:after="0" w:line="239" w:lineRule="auto"/>
        <w:tabs>
          <w:tab w:leader="none" w:pos="34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L</w:t>
      </w:r>
      <w:r>
        <w:rPr>
          <w:rFonts w:ascii="Arial" w:cs="Arial" w:eastAsia="Arial" w:hAnsi="Arial"/>
          <w:sz w:val="10"/>
          <w:szCs w:val="10"/>
          <w:b w:val="1"/>
          <w:bCs w:val="1"/>
          <w:color w:val="auto"/>
        </w:rPr>
        <w:t>eaves of</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bsence</w:t>
      </w:r>
      <w:r>
        <w:rPr>
          <w:rFonts w:ascii="Arial" w:cs="Arial" w:eastAsia="Arial" w:hAnsi="Arial"/>
          <w:sz w:val="16"/>
          <w:szCs w:val="16"/>
          <w:b w:val="1"/>
          <w:bCs w:val="1"/>
          <w:color w:val="auto"/>
        </w:rPr>
        <w:t>/T</w:t>
      </w:r>
      <w:r>
        <w:rPr>
          <w:rFonts w:ascii="Arial" w:cs="Arial" w:eastAsia="Arial" w:hAnsi="Arial"/>
          <w:sz w:val="10"/>
          <w:szCs w:val="10"/>
          <w:b w:val="1"/>
          <w:bCs w:val="1"/>
          <w:color w:val="auto"/>
        </w:rPr>
        <w:t>ransfer</w:t>
      </w:r>
      <w:r>
        <w:rPr>
          <w:rFonts w:ascii="Arial" w:cs="Arial" w:eastAsia="Arial" w:hAnsi="Arial"/>
          <w:sz w:val="16"/>
          <w:szCs w:val="16"/>
          <w:b w:val="1"/>
          <w:bCs w:val="1"/>
          <w:color w:val="auto"/>
        </w:rPr>
        <w:t xml:space="preserve"> B</w:t>
      </w:r>
      <w:r>
        <w:rPr>
          <w:rFonts w:ascii="Arial" w:cs="Arial" w:eastAsia="Arial" w:hAnsi="Arial"/>
          <w:sz w:val="10"/>
          <w:szCs w:val="10"/>
          <w:b w:val="1"/>
          <w:bCs w:val="1"/>
          <w:color w:val="auto"/>
        </w:rPr>
        <w:t>etween</w:t>
      </w:r>
      <w:r>
        <w:rPr>
          <w:rFonts w:ascii="Arial" w:cs="Arial" w:eastAsia="Arial" w:hAnsi="Arial"/>
          <w:sz w:val="16"/>
          <w:szCs w:val="16"/>
          <w:b w:val="1"/>
          <w:bCs w:val="1"/>
          <w:color w:val="auto"/>
        </w:rPr>
        <w:t xml:space="preserve"> L</w:t>
      </w:r>
      <w:r>
        <w:rPr>
          <w:rFonts w:ascii="Arial" w:cs="Arial" w:eastAsia="Arial" w:hAnsi="Arial"/>
          <w:sz w:val="10"/>
          <w:szCs w:val="10"/>
          <w:b w:val="1"/>
          <w:bCs w:val="1"/>
          <w:color w:val="auto"/>
        </w:rPr>
        <w:t>ocations</w:t>
      </w:r>
      <w:r>
        <w:rPr>
          <w:rFonts w:ascii="Arial" w:cs="Arial" w:eastAsia="Arial" w:hAnsi="Arial"/>
          <w:sz w:val="16"/>
          <w:szCs w:val="16"/>
          <w:color w:val="auto"/>
        </w:rPr>
        <w:t>. Unless the Administrator provides otherwise or as otherwise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Parents or any of its Subsidiaries. For purposes of Incentive Stock Options, no such leave from the Company or any Section 424 Parent or Section 424 Subsidiary of the Company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26"/>
          <w:szCs w:val="26"/>
          <w:color w:val="auto"/>
          <w:vertAlign w:val="superscript"/>
        </w:rPr>
        <w:t>st</w:t>
      </w:r>
      <w:r>
        <w:rPr>
          <w:rFonts w:ascii="Arial" w:cs="Arial" w:eastAsia="Arial" w:hAnsi="Arial"/>
          <w:sz w:val="16"/>
          <w:szCs w:val="16"/>
          <w:color w:val="auto"/>
        </w:rPr>
        <w:t>) day of such leave, any Incentive Stock Option held by the Participant will cease to be treated as an Incentive Stock Option and will be treated for tax purposes as a Nonstatutory Stock Option.</w:t>
      </w:r>
    </w:p>
    <w:p>
      <w:pPr>
        <w:spacing w:after="0" w:line="167" w:lineRule="exact"/>
        <w:rPr>
          <w:rFonts w:ascii="Arial" w:cs="Arial" w:eastAsia="Arial" w:hAnsi="Arial"/>
          <w:sz w:val="16"/>
          <w:szCs w:val="16"/>
          <w:color w:val="auto"/>
        </w:rPr>
      </w:pPr>
    </w:p>
    <w:p>
      <w:pPr>
        <w:ind w:left="344" w:right="80" w:hanging="344"/>
        <w:spacing w:after="0" w:line="256" w:lineRule="auto"/>
        <w:tabs>
          <w:tab w:leader="none" w:pos="34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L</w:t>
      </w:r>
      <w:r>
        <w:rPr>
          <w:rFonts w:ascii="Arial" w:cs="Arial" w:eastAsia="Arial" w:hAnsi="Arial"/>
          <w:sz w:val="10"/>
          <w:szCs w:val="10"/>
          <w:b w:val="1"/>
          <w:bCs w:val="1"/>
          <w:color w:val="auto"/>
        </w:rPr>
        <w:t>imited</w:t>
      </w:r>
      <w:r>
        <w:rPr>
          <w:rFonts w:ascii="Arial" w:cs="Arial" w:eastAsia="Arial" w:hAnsi="Arial"/>
          <w:sz w:val="16"/>
          <w:szCs w:val="16"/>
          <w:b w:val="1"/>
          <w:bCs w:val="1"/>
          <w:color w:val="auto"/>
        </w:rPr>
        <w:t xml:space="preserve"> T</w:t>
      </w:r>
      <w:r>
        <w:rPr>
          <w:rFonts w:ascii="Arial" w:cs="Arial" w:eastAsia="Arial" w:hAnsi="Arial"/>
          <w:sz w:val="10"/>
          <w:szCs w:val="10"/>
          <w:b w:val="1"/>
          <w:bCs w:val="1"/>
          <w:color w:val="auto"/>
        </w:rPr>
        <w:t>ransferability of</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wards</w:t>
      </w:r>
      <w:r>
        <w:rPr>
          <w:rFonts w:ascii="Arial" w:cs="Arial" w:eastAsia="Arial" w:hAnsi="Arial"/>
          <w:sz w:val="16"/>
          <w:szCs w:val="16"/>
          <w:color w:val="auto"/>
        </w:rPr>
        <w:t>. Unless determined otherwise by the Administrator, Awards may not be sold,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39" w:lineRule="exact"/>
        <w:rPr>
          <w:rFonts w:ascii="Arial" w:cs="Arial" w:eastAsia="Arial" w:hAnsi="Arial"/>
          <w:sz w:val="16"/>
          <w:szCs w:val="16"/>
          <w:color w:val="auto"/>
        </w:rPr>
      </w:pPr>
    </w:p>
    <w:p>
      <w:pPr>
        <w:ind w:left="344" w:hanging="344"/>
        <w:spacing w:after="0"/>
        <w:tabs>
          <w:tab w:leader="none" w:pos="34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djustments</w:t>
      </w:r>
      <w:r>
        <w:rPr>
          <w:rFonts w:ascii="Arial" w:cs="Arial" w:eastAsia="Arial" w:hAnsi="Arial"/>
          <w:sz w:val="16"/>
          <w:szCs w:val="16"/>
          <w:b w:val="1"/>
          <w:bCs w:val="1"/>
          <w:color w:val="auto"/>
        </w:rPr>
        <w:t>; D</w:t>
      </w:r>
      <w:r>
        <w:rPr>
          <w:rFonts w:ascii="Arial" w:cs="Arial" w:eastAsia="Arial" w:hAnsi="Arial"/>
          <w:sz w:val="10"/>
          <w:szCs w:val="10"/>
          <w:b w:val="1"/>
          <w:bCs w:val="1"/>
          <w:color w:val="auto"/>
        </w:rPr>
        <w:t>issolution or</w:t>
      </w:r>
      <w:r>
        <w:rPr>
          <w:rFonts w:ascii="Arial" w:cs="Arial" w:eastAsia="Arial" w:hAnsi="Arial"/>
          <w:sz w:val="16"/>
          <w:szCs w:val="16"/>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6"/>
          <w:szCs w:val="16"/>
          <w:b w:val="1"/>
          <w:bCs w:val="1"/>
          <w:color w:val="auto"/>
        </w:rPr>
        <w:t>; M</w:t>
      </w:r>
      <w:r>
        <w:rPr>
          <w:rFonts w:ascii="Arial" w:cs="Arial" w:eastAsia="Arial" w:hAnsi="Arial"/>
          <w:sz w:val="10"/>
          <w:szCs w:val="10"/>
          <w:b w:val="1"/>
          <w:bCs w:val="1"/>
          <w:color w:val="auto"/>
        </w:rPr>
        <w:t>erger or</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hange in</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ontrol</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704" w:right="80" w:hanging="351"/>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14.1 </w:t>
      </w:r>
      <w:r>
        <w:rPr>
          <w:rFonts w:ascii="Arial" w:cs="Arial" w:eastAsia="Arial" w:hAnsi="Arial"/>
          <w:sz w:val="16"/>
          <w:szCs w:val="16"/>
          <w:b w:val="1"/>
          <w:bCs w:val="1"/>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as well as numerical Share limits in Section 3 and Section 4.4.1.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59" w:lineRule="exact"/>
        <w:rPr>
          <w:rFonts w:ascii="Arial" w:cs="Arial" w:eastAsia="Arial" w:hAnsi="Arial"/>
          <w:sz w:val="16"/>
          <w:szCs w:val="16"/>
          <w:color w:val="auto"/>
        </w:rPr>
      </w:pPr>
    </w:p>
    <w:p>
      <w:pPr>
        <w:ind w:left="704" w:right="200" w:hanging="351"/>
        <w:spacing w:after="0" w:line="256" w:lineRule="auto"/>
        <w:rPr>
          <w:rFonts w:ascii="Arial" w:cs="Arial" w:eastAsia="Arial" w:hAnsi="Arial"/>
          <w:sz w:val="16"/>
          <w:szCs w:val="16"/>
          <w:color w:val="auto"/>
        </w:rPr>
      </w:pPr>
      <w:r>
        <w:rPr>
          <w:rFonts w:ascii="Arial" w:cs="Arial" w:eastAsia="Arial" w:hAnsi="Arial"/>
          <w:sz w:val="16"/>
          <w:szCs w:val="16"/>
          <w:color w:val="auto"/>
        </w:rPr>
        <w:t xml:space="preserve">14.2 </w:t>
      </w:r>
      <w:r>
        <w:rPr>
          <w:rFonts w:ascii="Arial" w:cs="Arial" w:eastAsia="Arial" w:hAnsi="Arial"/>
          <w:sz w:val="16"/>
          <w:szCs w:val="16"/>
          <w:b w:val="1"/>
          <w:bCs w:val="1"/>
          <w:color w:val="auto"/>
        </w:rPr>
        <w:t>Dissolution or Liquidation</w:t>
      </w:r>
      <w:r>
        <w:rPr>
          <w:rFonts w:ascii="Arial" w:cs="Arial" w:eastAsia="Arial" w:hAnsi="Arial"/>
          <w:sz w:val="16"/>
          <w:szCs w:val="16"/>
          <w:color w:val="auto"/>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A-12 </w:t>
      </w:r>
      <w:r>
        <w:rPr>
          <w:sz w:val="1"/>
          <w:szCs w:val="1"/>
          <w:color w:val="auto"/>
        </w:rPr>
        <w:drawing>
          <wp:inline distT="0" distB="0" distL="0" distR="0">
            <wp:extent cx="625475" cy="196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5475" cy="1968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146050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16" w:name="page17"/>
    <w:bookmarkEnd w:id="16"/>
    <w:p>
      <w:pPr>
        <w:ind w:left="8380"/>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420" w:hanging="350"/>
        <w:spacing w:after="0" w:line="248"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color w:val="auto"/>
        </w:rPr>
        <w:t>Merger or Change in Control</w:t>
      </w:r>
      <w:r>
        <w:rPr>
          <w:rFonts w:ascii="Arial" w:cs="Arial" w:eastAsia="Arial" w:hAnsi="Arial"/>
          <w:sz w:val="16"/>
          <w:szCs w:val="16"/>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which may include, without limitation, that the outstanding Award will be: (a) assumed, or a substantially equivalent award(s) will be substituted, by the acquiring or succeeding entity (or an affiliate thereof) with appropriate adjustments as to the number and kind of shares and prices; (b) continued by the Company, subject to any adjustment pursuant to Section 14.1; (c) upon written notice to the Participant, terminate upon or immediately prior to the consummation of such merger or Change in Control; (d) vest and become exercisable, realizable or payable, or restrictions applicable to the Award will lapse, in whole or in part prior to or upon consummation of such merger or Change in Control, and, to the extent the Administrator determines, terminate upon or immediately prior to the effectiveness of such merger or Change in Control; (e) (i) terminated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will be terminated by the Company without payment), or (ii) replaced with other rights or property selected by the Administrator in its sole discretion; or (f) treated in any combination of the foregoing. In taking any of the actions permitted under this Section 14.3, the Administrator will not be obligated to treat all Awards, all Awards held by a Participant, all Awards of the same type, or all portions of Awards, similarly.</w:t>
      </w:r>
    </w:p>
    <w:p>
      <w:pPr>
        <w:spacing w:after="0" w:line="345" w:lineRule="exact"/>
        <w:rPr>
          <w:sz w:val="20"/>
          <w:szCs w:val="20"/>
          <w:color w:val="auto"/>
        </w:rPr>
      </w:pPr>
    </w:p>
    <w:p>
      <w:pPr>
        <w:ind w:left="80"/>
        <w:spacing w:after="0" w:line="249" w:lineRule="auto"/>
        <w:rPr>
          <w:sz w:val="20"/>
          <w:szCs w:val="20"/>
          <w:color w:val="auto"/>
        </w:rPr>
      </w:pPr>
      <w:r>
        <w:rPr>
          <w:rFonts w:ascii="Arial" w:cs="Arial" w:eastAsia="Arial" w:hAnsi="Arial"/>
          <w:sz w:val="16"/>
          <w:szCs w:val="16"/>
          <w:color w:val="auto"/>
        </w:rPr>
        <w:t>In the event that the successor (or an affiliate thereof) does not assume the Award (or portion thereof) pursuant to the preceding clause (a) and as described below, or substitute for the Award (or portion thereof) pursuant to the preceding clause (a), and the Company does not continue the Award (or portion thereof) as described above, the Participant will fully vest in and have the right to exercise his or her outstanding Options and Stock Appreciation Rights (or portions thereof) not so assumed, substituted for or continued, including Shares as to which such Awards would not otherwise be vested or exercisable, all restrictions on Restricted Stock, Restricted Stock Units, or Performance Awards (or portions thereof) not so assumed, substituted for or continued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to the extent an Option or Stock Appreciation Right (or portion thereof) is not so assumed, substituted for or continued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57" w:lineRule="exact"/>
        <w:rPr>
          <w:sz w:val="20"/>
          <w:szCs w:val="20"/>
          <w:color w:val="auto"/>
        </w:rPr>
      </w:pPr>
    </w:p>
    <w:p>
      <w:pPr>
        <w:ind w:left="80" w:right="20"/>
        <w:spacing w:after="0" w:line="250" w:lineRule="auto"/>
        <w:rPr>
          <w:sz w:val="20"/>
          <w:szCs w:val="20"/>
          <w:color w:val="auto"/>
        </w:rPr>
      </w:pPr>
      <w:r>
        <w:rPr>
          <w:rFonts w:ascii="Arial" w:cs="Arial" w:eastAsia="Arial" w:hAnsi="Arial"/>
          <w:sz w:val="16"/>
          <w:szCs w:val="16"/>
          <w:color w:val="auto"/>
        </w:rPr>
        <w:t>For the purposes of this Section 14.3 and Section 14.4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exercise of an Option or Stock Appreciation Right or upon the payout of a Restricted Stock Unit or Performance Award, for each Share subject to such Award, to be solely common stock of the successor or its Parent equal in fair market value to the per share consideration received by holders of Common Stock in the merger or Change in Control.</w:t>
      </w:r>
    </w:p>
    <w:p>
      <w:pPr>
        <w:spacing w:after="0" w:line="149" w:lineRule="exact"/>
        <w:rPr>
          <w:sz w:val="20"/>
          <w:szCs w:val="20"/>
          <w:color w:val="auto"/>
        </w:rPr>
      </w:pPr>
    </w:p>
    <w:p>
      <w:pPr>
        <w:ind w:left="80"/>
        <w:spacing w:after="0" w:line="254" w:lineRule="auto"/>
        <w:rPr>
          <w:sz w:val="20"/>
          <w:szCs w:val="20"/>
          <w:color w:val="auto"/>
        </w:rPr>
      </w:pPr>
      <w:r>
        <w:rPr>
          <w:rFonts w:ascii="Arial" w:cs="Arial" w:eastAsia="Arial" w:hAnsi="Arial"/>
          <w:sz w:val="16"/>
          <w:szCs w:val="16"/>
          <w:color w:val="auto"/>
        </w:rPr>
        <w:t>Notwithstanding anything in this Section 14.3 to the contrary, and unless otherwise provided under an Award Agreement or other written agreement authorized by the Administrator between the Participant and the Company or any of its Subsidiaries or Parents, as applicable, an Award that vests, is earned or paid out upon the satisfaction of one or more performance goals will not be considered assumed if the Company or its successor modifies any of such performance goals without the Participant’s consent; provided, however, that a modification to such performance goals only to reflect the successor’s post-merger or post-Change in Control corporate structure will not be deemed to invalidate an otherwise valid Award assumption.</w:t>
      </w:r>
    </w:p>
    <w:p>
      <w:pPr>
        <w:spacing w:after="0" w:line="141" w:lineRule="exact"/>
        <w:rPr>
          <w:sz w:val="20"/>
          <w:szCs w:val="20"/>
          <w:color w:val="auto"/>
        </w:rPr>
      </w:pPr>
    </w:p>
    <w:p>
      <w:pPr>
        <w:ind w:left="80" w:right="20"/>
        <w:spacing w:after="0" w:line="259" w:lineRule="auto"/>
        <w:rPr>
          <w:sz w:val="20"/>
          <w:szCs w:val="20"/>
          <w:color w:val="auto"/>
        </w:rPr>
      </w:pPr>
      <w:r>
        <w:rPr>
          <w:rFonts w:ascii="Arial" w:cs="Arial" w:eastAsia="Arial" w:hAnsi="Arial"/>
          <w:sz w:val="16"/>
          <w:szCs w:val="16"/>
          <w:color w:val="auto"/>
        </w:rPr>
        <w:t>Notwithstanding anything in this Section 14.3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190500</wp:posOffset>
            </wp:positionV>
            <wp:extent cx="62611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200660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440" w:top="225" w:right="1179" w:bottom="1440" w:gutter="0" w:footer="0" w:header="0"/>
        </w:sectPr>
      </w:pPr>
    </w:p>
    <w:bookmarkStart w:id="17" w:name="page18"/>
    <w:bookmarkEnd w:id="17"/>
    <w:p>
      <w:pPr>
        <w:ind w:left="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364" w:right="80"/>
        <w:spacing w:after="0" w:line="259" w:lineRule="auto"/>
        <w:rPr>
          <w:sz w:val="20"/>
          <w:szCs w:val="20"/>
          <w:color w:val="auto"/>
        </w:rPr>
      </w:pPr>
      <w:r>
        <w:rPr>
          <w:rFonts w:ascii="Arial" w:cs="Arial" w:eastAsia="Arial" w:hAnsi="Arial"/>
          <w:sz w:val="16"/>
          <w:szCs w:val="16"/>
          <w:color w:val="auto"/>
        </w:rPr>
        <w:t>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37" w:lineRule="exact"/>
        <w:rPr>
          <w:sz w:val="20"/>
          <w:szCs w:val="20"/>
          <w:color w:val="auto"/>
        </w:rPr>
      </w:pPr>
    </w:p>
    <w:p>
      <w:pPr>
        <w:ind w:left="704" w:right="40" w:hanging="350"/>
        <w:spacing w:after="0" w:line="250"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color w:val="auto"/>
        </w:rPr>
        <w:t>Outside Director Awards</w:t>
      </w:r>
      <w:r>
        <w:rPr>
          <w:rFonts w:ascii="Arial" w:cs="Arial" w:eastAsia="Arial" w:hAnsi="Arial"/>
          <w:sz w:val="16"/>
          <w:szCs w:val="16"/>
          <w:color w:val="auto"/>
        </w:rPr>
        <w:t>. Any Award granted to an Outside Director while such individual was an Outside Director, regardless of whether such Award is assumed or substituted for, will fully vest immediately prior to a merger of the Company with or into another corporation or other entity or a Change in Control, provided that the Participant remains an Outside Director through immediately prior to such merger or Change in Control, and the Participant will have the right to exercise Options and/or Stock Appreciation Rights as to all of the Shares underlying such Award, including those Shares which otherwise would not be vested or exercisable prior to such,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62" w:lineRule="exact"/>
        <w:rPr>
          <w:sz w:val="20"/>
          <w:szCs w:val="20"/>
          <w:color w:val="auto"/>
        </w:rPr>
      </w:pPr>
    </w:p>
    <w:p>
      <w:pPr>
        <w:ind w:left="344" w:hanging="344"/>
        <w:spacing w:after="0"/>
        <w:tabs>
          <w:tab w:leader="none" w:pos="344"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ax</w:t>
      </w:r>
      <w:r>
        <w:rPr>
          <w:rFonts w:ascii="Arial" w:cs="Arial" w:eastAsia="Arial" w:hAnsi="Arial"/>
          <w:sz w:val="16"/>
          <w:szCs w:val="16"/>
          <w:b w:val="1"/>
          <w:bCs w:val="1"/>
          <w:color w:val="auto"/>
        </w:rPr>
        <w:t xml:space="preserve"> W</w:t>
      </w:r>
      <w:r>
        <w:rPr>
          <w:rFonts w:ascii="Arial" w:cs="Arial" w:eastAsia="Arial" w:hAnsi="Arial"/>
          <w:sz w:val="10"/>
          <w:szCs w:val="10"/>
          <w:b w:val="1"/>
          <w:bCs w:val="1"/>
          <w:color w:val="auto"/>
        </w:rPr>
        <w:t>ithholding</w:t>
      </w:r>
      <w:r>
        <w:rPr>
          <w:rFonts w:ascii="Arial" w:cs="Arial" w:eastAsia="Arial" w:hAnsi="Arial"/>
          <w:sz w:val="16"/>
          <w:szCs w:val="16"/>
          <w:color w:val="auto"/>
        </w:rPr>
        <w:t>.</w:t>
      </w:r>
    </w:p>
    <w:p>
      <w:pPr>
        <w:spacing w:after="0" w:line="181" w:lineRule="exact"/>
        <w:rPr>
          <w:sz w:val="20"/>
          <w:szCs w:val="20"/>
          <w:color w:val="auto"/>
        </w:rPr>
      </w:pPr>
    </w:p>
    <w:p>
      <w:pPr>
        <w:jc w:val="center"/>
        <w:ind w:right="-323"/>
        <w:spacing w:after="0"/>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Withholding Requirements</w:t>
      </w:r>
      <w:r>
        <w:rPr>
          <w:rFonts w:ascii="Arial" w:cs="Arial" w:eastAsia="Arial" w:hAnsi="Arial"/>
          <w:sz w:val="16"/>
          <w:szCs w:val="16"/>
          <w:color w:val="auto"/>
        </w:rPr>
        <w:t>. Prior to the delivery of any Shares or cash pursuant to an Award (or exercise thereof) or such</w:t>
      </w:r>
    </w:p>
    <w:p>
      <w:pPr>
        <w:spacing w:after="0" w:line="21" w:lineRule="exact"/>
        <w:rPr>
          <w:sz w:val="20"/>
          <w:szCs w:val="20"/>
          <w:color w:val="auto"/>
        </w:rPr>
      </w:pPr>
    </w:p>
    <w:p>
      <w:pPr>
        <w:ind w:left="704" w:right="20"/>
        <w:spacing w:after="0" w:line="250" w:lineRule="auto"/>
        <w:rPr>
          <w:sz w:val="20"/>
          <w:szCs w:val="20"/>
          <w:color w:val="auto"/>
        </w:rPr>
      </w:pPr>
      <w:r>
        <w:rPr>
          <w:rFonts w:ascii="Arial" w:cs="Arial" w:eastAsia="Arial" w:hAnsi="Arial"/>
          <w:sz w:val="16"/>
          <w:szCs w:val="16"/>
          <w:color w:val="auto"/>
        </w:rPr>
        <w:t>earlier time as any tax withholdings are due, the Company (or any of its Parents, Subsidiaries or affiliates employing or retaining the services of a Participant, as applicable) will have the power and the right to deduct or withhold, or require a Participant to remit to the Company (or any of its Parents, Subsidiaries, or affiliates, as applicable) or a relevant tax authority, an amount sufficient to satisfy U.S. federal, state, local, non-U.S. and other taxes (including the Participant’s FICA or other social insurance contribution obligation) required to be withheld or paid with respect to such Award (or exercise thereof).</w:t>
      </w:r>
    </w:p>
    <w:p>
      <w:pPr>
        <w:spacing w:after="0" w:line="335" w:lineRule="exact"/>
        <w:rPr>
          <w:sz w:val="20"/>
          <w:szCs w:val="20"/>
          <w:color w:val="auto"/>
        </w:rPr>
      </w:pPr>
    </w:p>
    <w:p>
      <w:pPr>
        <w:ind w:left="704" w:right="20" w:hanging="350"/>
        <w:spacing w:after="0" w:line="248"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provided, in each case, that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provided, in each case, that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The amount of the withholding obligation will be deemed to include any amount that the Administrator agrees may be withheld at the time the election is made, not to exceed the amount determined by using the maximum federal, state or local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66" w:lineRule="exact"/>
        <w:rPr>
          <w:sz w:val="20"/>
          <w:szCs w:val="20"/>
          <w:color w:val="auto"/>
        </w:rPr>
      </w:pPr>
    </w:p>
    <w:p>
      <w:pPr>
        <w:ind w:left="344" w:hanging="344"/>
        <w:spacing w:after="0" w:line="256" w:lineRule="auto"/>
        <w:tabs>
          <w:tab w:leader="none" w:pos="344"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ffect on</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mployment or</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ervice</w:t>
      </w:r>
      <w:r>
        <w:rPr>
          <w:rFonts w:ascii="Arial" w:cs="Arial" w:eastAsia="Arial" w:hAnsi="Arial"/>
          <w:sz w:val="16"/>
          <w:szCs w:val="16"/>
          <w:color w:val="auto"/>
        </w:rPr>
        <w:t>. Neither the Plan nor any Award will confer upon a Participant any right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free from any liability or claim under the Plan, to the extent permitted by Applicable Laws.</w:t>
      </w:r>
    </w:p>
    <w:p>
      <w:pPr>
        <w:spacing w:after="0" w:line="139" w:lineRule="exact"/>
        <w:rPr>
          <w:rFonts w:ascii="Arial" w:cs="Arial" w:eastAsia="Arial" w:hAnsi="Arial"/>
          <w:sz w:val="16"/>
          <w:szCs w:val="16"/>
          <w:color w:val="auto"/>
        </w:rPr>
      </w:pPr>
    </w:p>
    <w:p>
      <w:pPr>
        <w:jc w:val="both"/>
        <w:ind w:left="344" w:right="860" w:hanging="344"/>
        <w:spacing w:after="0" w:line="266" w:lineRule="auto"/>
        <w:tabs>
          <w:tab w:leader="none" w:pos="344"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D</w:t>
      </w:r>
      <w:r>
        <w:rPr>
          <w:rFonts w:ascii="Arial" w:cs="Arial" w:eastAsia="Arial" w:hAnsi="Arial"/>
          <w:sz w:val="10"/>
          <w:szCs w:val="10"/>
          <w:b w:val="1"/>
          <w:bCs w:val="1"/>
          <w:color w:val="auto"/>
        </w:rPr>
        <w:t>ate of</w:t>
      </w:r>
      <w:r>
        <w:rPr>
          <w:rFonts w:ascii="Arial" w:cs="Arial" w:eastAsia="Arial" w:hAnsi="Arial"/>
          <w:sz w:val="16"/>
          <w:szCs w:val="16"/>
          <w:b w:val="1"/>
          <w:bCs w:val="1"/>
          <w:color w:val="auto"/>
        </w:rPr>
        <w:t xml:space="preserve"> G</w:t>
      </w:r>
      <w:r>
        <w:rPr>
          <w:rFonts w:ascii="Arial" w:cs="Arial" w:eastAsia="Arial" w:hAnsi="Arial"/>
          <w:sz w:val="10"/>
          <w:szCs w:val="10"/>
          <w:b w:val="1"/>
          <w:bCs w:val="1"/>
          <w:color w:val="auto"/>
        </w:rPr>
        <w:t>rant</w:t>
      </w:r>
      <w:r>
        <w:rPr>
          <w:rFonts w:ascii="Arial" w:cs="Arial" w:eastAsia="Arial" w:hAnsi="Arial"/>
          <w:sz w:val="16"/>
          <w:szCs w:val="16"/>
          <w:color w:val="auto"/>
        </w:rPr>
        <w:t>. The date of grant of an Award will be, for all purposes, the date on which the Administrator makes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to grant such Award, or such other later date as may be determined by the Administrator. Notice of the determination will be provided to each Participant within a reasonable time after the date of such grant.</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A-14 </w:t>
      </w:r>
      <w:r>
        <w:rPr>
          <w:sz w:val="1"/>
          <w:szCs w:val="1"/>
          <w:color w:val="auto"/>
        </w:rPr>
        <w:drawing>
          <wp:inline distT="0" distB="0" distL="0" distR="0">
            <wp:extent cx="625475" cy="1968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5475" cy="1968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145415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18" w:name="page19"/>
    <w:bookmarkEnd w:id="18"/>
    <w:p>
      <w:pPr>
        <w:ind w:left="8664"/>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344" w:right="40" w:hanging="344"/>
        <w:spacing w:after="0" w:line="254" w:lineRule="auto"/>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erm of</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6"/>
          <w:szCs w:val="16"/>
          <w:color w:val="auto"/>
        </w:rPr>
        <w:t>. The Plan became effective June 12, 2025, which was the later to occur of (a) the date of its initial adoption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and (b) the date of its initial approval by the Company’s stockholders (the “</w:t>
      </w:r>
      <w:r>
        <w:rPr>
          <w:rFonts w:ascii="Arial" w:cs="Arial" w:eastAsia="Arial" w:hAnsi="Arial"/>
          <w:sz w:val="16"/>
          <w:szCs w:val="16"/>
          <w:b w:val="1"/>
          <w:bCs w:val="1"/>
          <w:color w:val="auto"/>
        </w:rPr>
        <w:t>Effective Date</w:t>
      </w:r>
      <w:r>
        <w:rPr>
          <w:rFonts w:ascii="Arial" w:cs="Arial" w:eastAsia="Arial" w:hAnsi="Arial"/>
          <w:sz w:val="16"/>
          <w:szCs w:val="16"/>
          <w:color w:val="auto"/>
        </w:rPr>
        <w:t>”). The Plan will continue in effect for a term of ten (10) years from its effectiveness, unless terminated earlier under Section 19.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19).</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mendment and</w:t>
      </w:r>
      <w:r>
        <w:rPr>
          <w:rFonts w:ascii="Arial" w:cs="Arial" w:eastAsia="Arial" w:hAnsi="Arial"/>
          <w:sz w:val="16"/>
          <w:szCs w:val="16"/>
          <w:b w:val="1"/>
          <w:bCs w:val="1"/>
          <w:color w:val="auto"/>
        </w:rPr>
        <w:t xml:space="preserve"> T</w:t>
      </w:r>
      <w:r>
        <w:rPr>
          <w:rFonts w:ascii="Arial" w:cs="Arial" w:eastAsia="Arial" w:hAnsi="Arial"/>
          <w:sz w:val="10"/>
          <w:szCs w:val="10"/>
          <w:b w:val="1"/>
          <w:bCs w:val="1"/>
          <w:color w:val="auto"/>
        </w:rPr>
        <w:t>ermination of the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704" w:right="140" w:hanging="351"/>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19.1 </w:t>
      </w:r>
      <w:r>
        <w:rPr>
          <w:rFonts w:ascii="Arial" w:cs="Arial" w:eastAsia="Arial" w:hAnsi="Arial"/>
          <w:sz w:val="16"/>
          <w:szCs w:val="16"/>
          <w:b w:val="1"/>
          <w:bCs w:val="1"/>
          <w:color w:val="auto"/>
        </w:rPr>
        <w:t>Amendment and Termination</w:t>
      </w:r>
      <w:r>
        <w:rPr>
          <w:rFonts w:ascii="Arial" w:cs="Arial" w:eastAsia="Arial" w:hAnsi="Arial"/>
          <w:sz w:val="16"/>
          <w:szCs w:val="16"/>
          <w:color w:val="auto"/>
        </w:rPr>
        <w:t>. The Administrator, in its sole discretion, may amend, alter, suspend or terminate the Plan, or any part thereof, at any time and for any reason.</w:t>
      </w:r>
    </w:p>
    <w:p>
      <w:pPr>
        <w:spacing w:after="0" w:line="115" w:lineRule="exact"/>
        <w:rPr>
          <w:rFonts w:ascii="Arial" w:cs="Arial" w:eastAsia="Arial" w:hAnsi="Arial"/>
          <w:sz w:val="16"/>
          <w:szCs w:val="16"/>
          <w:color w:val="auto"/>
        </w:rPr>
      </w:pPr>
    </w:p>
    <w:p>
      <w:pPr>
        <w:ind w:left="704" w:right="300" w:hanging="351"/>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19.2 </w:t>
      </w:r>
      <w:r>
        <w:rPr>
          <w:rFonts w:ascii="Arial" w:cs="Arial" w:eastAsia="Arial" w:hAnsi="Arial"/>
          <w:sz w:val="16"/>
          <w:szCs w:val="16"/>
          <w:b w:val="1"/>
          <w:bCs w:val="1"/>
          <w:color w:val="auto"/>
        </w:rPr>
        <w:t>Stockholder Approval</w:t>
      </w:r>
      <w:r>
        <w:rPr>
          <w:rFonts w:ascii="Arial" w:cs="Arial" w:eastAsia="Arial" w:hAnsi="Arial"/>
          <w:sz w:val="16"/>
          <w:szCs w:val="16"/>
          <w:color w:val="auto"/>
        </w:rPr>
        <w:t>. The Company will obtain stockholder approval of any Plan amendment to the extent necessary and desirable to comply with Applicable Laws.</w:t>
      </w:r>
    </w:p>
    <w:p>
      <w:pPr>
        <w:spacing w:after="0" w:line="115" w:lineRule="exact"/>
        <w:rPr>
          <w:rFonts w:ascii="Arial" w:cs="Arial" w:eastAsia="Arial" w:hAnsi="Arial"/>
          <w:sz w:val="16"/>
          <w:szCs w:val="16"/>
          <w:color w:val="auto"/>
        </w:rPr>
      </w:pPr>
    </w:p>
    <w:p>
      <w:pPr>
        <w:ind w:left="704" w:right="80" w:hanging="351"/>
        <w:spacing w:after="0" w:line="252" w:lineRule="auto"/>
        <w:rPr>
          <w:rFonts w:ascii="Arial" w:cs="Arial" w:eastAsia="Arial" w:hAnsi="Arial"/>
          <w:sz w:val="16"/>
          <w:szCs w:val="16"/>
          <w:color w:val="auto"/>
        </w:rPr>
      </w:pPr>
      <w:r>
        <w:rPr>
          <w:rFonts w:ascii="Arial" w:cs="Arial" w:eastAsia="Arial" w:hAnsi="Arial"/>
          <w:sz w:val="16"/>
          <w:szCs w:val="16"/>
          <w:color w:val="auto"/>
        </w:rPr>
        <w:t xml:space="preserve">19.3 </w:t>
      </w:r>
      <w:r>
        <w:rPr>
          <w:rFonts w:ascii="Arial" w:cs="Arial" w:eastAsia="Arial" w:hAnsi="Arial"/>
          <w:sz w:val="16"/>
          <w:szCs w:val="16"/>
          <w:b w:val="1"/>
          <w:bCs w:val="1"/>
          <w:color w:val="auto"/>
        </w:rPr>
        <w:t>Effect of Amendment or Termination</w:t>
      </w:r>
      <w:r>
        <w:rPr>
          <w:rFonts w:ascii="Arial" w:cs="Arial" w:eastAsia="Arial" w:hAnsi="Arial"/>
          <w:sz w:val="16"/>
          <w:szCs w:val="16"/>
          <w:color w:val="auto"/>
        </w:rPr>
        <w:t>. No amendment, alteration, suspension or termination of the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19.3. Termination of the Plan will not affect the Administrator’s ability to exercise the powers granted to it hereunder with respect to Awards granted under the Plan prior to the date of such termination.</w:t>
      </w:r>
    </w:p>
    <w:p>
      <w:pPr>
        <w:spacing w:after="0" w:line="155" w:lineRule="exact"/>
        <w:rPr>
          <w:rFonts w:ascii="Arial" w:cs="Arial" w:eastAsia="Arial" w:hAnsi="Arial"/>
          <w:sz w:val="16"/>
          <w:szCs w:val="16"/>
          <w:color w:val="auto"/>
        </w:rPr>
      </w:pPr>
    </w:p>
    <w:p>
      <w:pPr>
        <w:ind w:left="344" w:hanging="344"/>
        <w:spacing w:after="0"/>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onditions</w:t>
      </w:r>
      <w:r>
        <w:rPr>
          <w:rFonts w:ascii="Arial" w:cs="Arial" w:eastAsia="Arial" w:hAnsi="Arial"/>
          <w:sz w:val="16"/>
          <w:szCs w:val="16"/>
          <w:b w:val="1"/>
          <w:bCs w:val="1"/>
          <w:color w:val="auto"/>
        </w:rPr>
        <w:t xml:space="preserve"> U</w:t>
      </w:r>
      <w:r>
        <w:rPr>
          <w:rFonts w:ascii="Arial" w:cs="Arial" w:eastAsia="Arial" w:hAnsi="Arial"/>
          <w:sz w:val="10"/>
          <w:szCs w:val="10"/>
          <w:b w:val="1"/>
          <w:bCs w:val="1"/>
          <w:color w:val="auto"/>
        </w:rPr>
        <w:t>pon</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ssuance of</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hares</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704" w:right="80" w:hanging="351"/>
        <w:spacing w:after="0" w:line="259" w:lineRule="auto"/>
        <w:rPr>
          <w:rFonts w:ascii="Arial" w:cs="Arial" w:eastAsia="Arial" w:hAnsi="Arial"/>
          <w:sz w:val="16"/>
          <w:szCs w:val="16"/>
          <w:color w:val="auto"/>
        </w:rPr>
      </w:pPr>
      <w:r>
        <w:rPr>
          <w:rFonts w:ascii="Arial" w:cs="Arial" w:eastAsia="Arial" w:hAnsi="Arial"/>
          <w:sz w:val="16"/>
          <w:szCs w:val="16"/>
          <w:color w:val="auto"/>
        </w:rPr>
        <w:t xml:space="preserve">20.1 </w:t>
      </w:r>
      <w:r>
        <w:rPr>
          <w:rFonts w:ascii="Arial" w:cs="Arial" w:eastAsia="Arial" w:hAnsi="Arial"/>
          <w:sz w:val="16"/>
          <w:szCs w:val="16"/>
          <w:b w:val="1"/>
          <w:bCs w:val="1"/>
          <w:color w:val="auto"/>
        </w:rPr>
        <w:t>Legal Compliance</w:t>
      </w:r>
      <w:r>
        <w:rPr>
          <w:rFonts w:ascii="Arial" w:cs="Arial" w:eastAsia="Arial" w:hAnsi="Arial"/>
          <w:sz w:val="16"/>
          <w:szCs w:val="16"/>
          <w:color w:val="auto"/>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137" w:lineRule="exact"/>
        <w:rPr>
          <w:rFonts w:ascii="Arial" w:cs="Arial" w:eastAsia="Arial" w:hAnsi="Arial"/>
          <w:sz w:val="16"/>
          <w:szCs w:val="16"/>
          <w:color w:val="auto"/>
        </w:rPr>
      </w:pPr>
    </w:p>
    <w:p>
      <w:pPr>
        <w:ind w:left="704" w:right="20" w:hanging="351"/>
        <w:spacing w:after="0" w:line="259" w:lineRule="auto"/>
        <w:rPr>
          <w:rFonts w:ascii="Arial" w:cs="Arial" w:eastAsia="Arial" w:hAnsi="Arial"/>
          <w:sz w:val="16"/>
          <w:szCs w:val="16"/>
          <w:color w:val="auto"/>
        </w:rPr>
      </w:pPr>
      <w:r>
        <w:rPr>
          <w:rFonts w:ascii="Arial" w:cs="Arial" w:eastAsia="Arial" w:hAnsi="Arial"/>
          <w:sz w:val="16"/>
          <w:szCs w:val="16"/>
          <w:color w:val="auto"/>
        </w:rPr>
        <w:t xml:space="preserve">20.2 </w:t>
      </w:r>
      <w:r>
        <w:rPr>
          <w:rFonts w:ascii="Arial" w:cs="Arial" w:eastAsia="Arial" w:hAnsi="Arial"/>
          <w:sz w:val="16"/>
          <w:szCs w:val="16"/>
          <w:b w:val="1"/>
          <w:bCs w:val="1"/>
          <w:color w:val="auto"/>
        </w:rPr>
        <w:t>Investment Representations</w:t>
      </w:r>
      <w:r>
        <w:rPr>
          <w:rFonts w:ascii="Arial" w:cs="Arial" w:eastAsia="Arial" w:hAnsi="Arial"/>
          <w:sz w:val="16"/>
          <w:szCs w:val="16"/>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50" w:lineRule="exact"/>
        <w:rPr>
          <w:rFonts w:ascii="Arial" w:cs="Arial" w:eastAsia="Arial" w:hAnsi="Arial"/>
          <w:sz w:val="16"/>
          <w:szCs w:val="16"/>
          <w:color w:val="auto"/>
        </w:rPr>
      </w:pPr>
    </w:p>
    <w:p>
      <w:pPr>
        <w:ind w:left="344" w:hanging="344"/>
        <w:spacing w:after="0" w:line="252" w:lineRule="auto"/>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w:t>
      </w:r>
      <w:r>
        <w:rPr>
          <w:rFonts w:ascii="Arial" w:cs="Arial" w:eastAsia="Arial" w:hAnsi="Arial"/>
          <w:sz w:val="10"/>
          <w:szCs w:val="10"/>
          <w:b w:val="1"/>
          <w:bCs w:val="1"/>
          <w:color w:val="auto"/>
        </w:rPr>
        <w:t>nability to</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btain</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uthority</w:t>
      </w:r>
      <w:r>
        <w:rPr>
          <w:rFonts w:ascii="Arial" w:cs="Arial" w:eastAsia="Arial" w:hAnsi="Arial"/>
          <w:sz w:val="16"/>
          <w:szCs w:val="16"/>
          <w:color w:val="auto"/>
        </w:rPr>
        <w:t>. If the Company determines it to be impossible or impractical to obtain authority from any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335" w:lineRule="exact"/>
        <w:rPr>
          <w:rFonts w:ascii="Arial" w:cs="Arial" w:eastAsia="Arial" w:hAnsi="Arial"/>
          <w:sz w:val="16"/>
          <w:szCs w:val="16"/>
          <w:color w:val="auto"/>
        </w:rPr>
      </w:pPr>
    </w:p>
    <w:p>
      <w:pPr>
        <w:ind w:left="344" w:right="80" w:hanging="344"/>
        <w:spacing w:after="0" w:line="266" w:lineRule="auto"/>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tockholder</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pproval</w:t>
      </w:r>
      <w:r>
        <w:rPr>
          <w:rFonts w:ascii="Arial" w:cs="Arial" w:eastAsia="Arial" w:hAnsi="Arial"/>
          <w:sz w:val="16"/>
          <w:szCs w:val="16"/>
          <w:color w:val="auto"/>
        </w:rPr>
        <w:t>. The Plan will be subject to approval by the stockholders of the Company within twelve (12) months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the Plan is adopted by the Board. Such stockholder approval will be obtained in the manner and to the degree required under Applicable Laws.</w:t>
      </w:r>
    </w:p>
    <w:p>
      <w:pPr>
        <w:spacing w:after="0" w:line="130" w:lineRule="exact"/>
        <w:rPr>
          <w:rFonts w:ascii="Arial" w:cs="Arial" w:eastAsia="Arial" w:hAnsi="Arial"/>
          <w:sz w:val="16"/>
          <w:szCs w:val="16"/>
          <w:color w:val="auto"/>
        </w:rPr>
      </w:pPr>
    </w:p>
    <w:p>
      <w:pPr>
        <w:ind w:left="344" w:hanging="344"/>
        <w:spacing w:after="0" w:line="251" w:lineRule="auto"/>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orfeiture</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vents</w:t>
      </w:r>
      <w:r>
        <w:rPr>
          <w:rFonts w:ascii="Arial" w:cs="Arial" w:eastAsia="Arial" w:hAnsi="Arial"/>
          <w:sz w:val="16"/>
          <w:szCs w:val="16"/>
          <w:color w:val="auto"/>
        </w:rPr>
        <w:t>. The Administrator may specify in an Award Agreement that the Participant’s rights,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Notwithstanding any provisions to the contrary under the Plan, all Awards granted under the Plan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Arial" w:cs="Arial" w:eastAsia="Arial" w:hAnsi="Arial"/>
          <w:sz w:val="16"/>
          <w:szCs w:val="16"/>
          <w:b w:val="1"/>
          <w:bCs w:val="1"/>
          <w:color w:val="auto"/>
        </w:rPr>
        <w:t>Clawback</w:t>
      </w:r>
      <w:r>
        <w:rPr>
          <w:rFonts w:ascii="Arial" w:cs="Arial" w:eastAsia="Arial" w:hAnsi="Arial"/>
          <w:sz w:val="16"/>
          <w:szCs w:val="16"/>
          <w:color w:val="auto"/>
        </w:rPr>
        <w:t xml:space="preserve"> </w:t>
      </w:r>
      <w:r>
        <w:rPr>
          <w:rFonts w:ascii="Arial" w:cs="Arial" w:eastAsia="Arial" w:hAnsi="Arial"/>
          <w:sz w:val="16"/>
          <w:szCs w:val="16"/>
          <w:b w:val="1"/>
          <w:bCs w:val="1"/>
          <w:color w:val="auto"/>
        </w:rPr>
        <w:t>Policy</w:t>
      </w:r>
      <w:r>
        <w:rPr>
          <w:rFonts w:ascii="Arial" w:cs="Arial" w:eastAsia="Arial" w:hAnsi="Arial"/>
          <w:sz w:val="16"/>
          <w:szCs w:val="16"/>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188595</wp:posOffset>
            </wp:positionV>
            <wp:extent cx="62611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110" cy="19685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200660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25" w:right="117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588FCB"/>
        </w:rPr>
        <w:t>APPENDIX A</w:t>
      </w:r>
    </w:p>
    <w:p>
      <w:pPr>
        <w:spacing w:after="0" w:line="104"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auto"/>
        </w:rPr>
        <w:t>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208" w:lineRule="exact"/>
        <w:rPr>
          <w:sz w:val="20"/>
          <w:szCs w:val="20"/>
          <w:color w:val="auto"/>
        </w:rPr>
      </w:pPr>
    </w:p>
    <w:p>
      <w:pPr>
        <w:jc w:val="center"/>
        <w:ind w:right="-19"/>
        <w:spacing w:after="0"/>
        <w:tabs>
          <w:tab w:leader="none" w:pos="140" w:val="left"/>
          <w:tab w:leader="none" w:pos="140" w:val="left"/>
        </w:tabs>
        <w:rPr>
          <w:sz w:val="20"/>
          <w:szCs w:val="20"/>
          <w:color w:val="auto"/>
        </w:rPr>
      </w:pPr>
      <w:r>
        <w:rPr>
          <w:rFonts w:ascii="Arial" w:cs="Arial" w:eastAsia="Arial" w:hAnsi="Arial"/>
          <w:sz w:val="16"/>
          <w:szCs w:val="16"/>
          <w:color w:val="auto"/>
        </w:rPr>
        <w:t xml:space="preserve">* </w:t>
        <w:tab/>
        <w:t xml:space="preserve">* </w:t>
      </w:r>
      <w:r>
        <w:rPr>
          <w:sz w:val="20"/>
          <w:szCs w:val="20"/>
          <w:color w:val="auto"/>
        </w:rPr>
        <w:tab/>
      </w:r>
      <w:r>
        <w:rPr>
          <w:rFonts w:ascii="Arial" w:cs="Arial" w:eastAsia="Arial" w:hAnsi="Arial"/>
          <w:sz w:val="15"/>
          <w:szCs w:val="15"/>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A-16 </w:t>
      </w:r>
      <w:r>
        <w:rPr>
          <w:sz w:val="1"/>
          <w:szCs w:val="1"/>
          <w:color w:val="auto"/>
        </w:rPr>
        <w:drawing>
          <wp:inline distT="0" distB="0" distL="0" distR="0">
            <wp:extent cx="625475" cy="1968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5475" cy="1968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25" w:right="11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157480</wp:posOffset>
            </wp:positionV>
            <wp:extent cx="6574790" cy="8512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157480</wp:posOffset>
            </wp:positionV>
            <wp:extent cx="6574790" cy="8512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lvl w:ilvl="1">
      <w:lvlJc w:val="left"/>
      <w:lvlText w:val="•"/>
      <w:numFmt w:val="bullet"/>
      <w:start w:val="1"/>
    </w:lvl>
  </w:abstractNum>
  <w:abstractNum w:abstractNumId="7">
    <w:nsid w:val="25E45D32"/>
    <w:multiLevelType w:val="hybridMultilevel"/>
    <w:lvl w:ilvl="0">
      <w:lvlJc w:val="left"/>
      <w:lvlText w:val="%1."/>
      <w:numFmt w:val="decimal"/>
      <w:start w:val="2"/>
    </w:lvl>
    <w:lvl w:ilvl="1">
      <w:lvlJc w:val="left"/>
      <w:lvlText w:val="(%2)"/>
      <w:numFmt w:val="lowerLetter"/>
      <w:start w:val="1"/>
    </w:lvl>
  </w:abstractNum>
  <w:abstractNum w:abstractNumId="8">
    <w:nsid w:val="519B500D"/>
    <w:multiLevelType w:val="hybridMultilevel"/>
    <w:lvl w:ilvl="0">
      <w:lvlJc w:val="left"/>
      <w:lvlText w:val="(%1)"/>
      <w:numFmt w:val="lowerLetter"/>
      <w:start w:val="3"/>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decimal"/>
      <w:start w:val="4"/>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1"/>
      <w:numFmt w:val="decimal"/>
      <w:start w:val="1"/>
    </w:lvl>
    <w:lvl w:ilvl="1">
      <w:lvlJc w:val="left"/>
      <w:lvlText w:val="(%2)"/>
      <w:numFmt w:val="lowerLetter"/>
      <w:start w:val="1"/>
    </w:lvl>
  </w:abstractNum>
  <w:abstractNum w:abstractNumId="16">
    <w:nsid w:val="333AB105"/>
    <w:multiLevelType w:val="hybridMultilevel"/>
    <w:lvl w:ilvl="0">
      <w:lvlJc w:val="left"/>
      <w:lvlText w:val="%1."/>
      <w:numFmt w:val="decimal"/>
      <w:start w:val="7"/>
    </w:lvl>
    <w:lvl w:ilvl="1">
      <w:lvlJc w:val="left"/>
      <w:lvlText w:val="%2"/>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8"/>
    </w:lvl>
  </w:abstractNum>
  <w:abstractNum w:abstractNumId="19">
    <w:nsid w:val="2D1D5AE9"/>
    <w:multiLevelType w:val="hybridMultilevel"/>
    <w:lvl w:ilvl="0">
      <w:lvlJc w:val="left"/>
      <w:lvlText w:val="%1."/>
      <w:numFmt w:val="decimal"/>
      <w:start w:val="9"/>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1."/>
      <w:numFmt w:val="decimal"/>
      <w:start w:val="11"/>
    </w:lvl>
  </w:abstractNum>
  <w:abstractNum w:abstractNumId="22">
    <w:nsid w:val="8EDBDAB"/>
    <w:multiLevelType w:val="hybridMultilevel"/>
    <w:lvl w:ilvl="0">
      <w:lvlJc w:val="left"/>
      <w:lvlText w:val="%1."/>
      <w:numFmt w:val="decimal"/>
      <w:start w:val="12"/>
    </w:lvl>
  </w:abstractNum>
  <w:abstractNum w:abstractNumId="23">
    <w:nsid w:val="79838CB2"/>
    <w:multiLevelType w:val="hybridMultilevel"/>
    <w:lvl w:ilvl="0">
      <w:lvlJc w:val="left"/>
      <w:lvlText w:val="%1."/>
      <w:numFmt w:val="decimal"/>
      <w:start w:val="15"/>
    </w:lvl>
  </w:abstractNum>
  <w:abstractNum w:abstractNumId="24">
    <w:nsid w:val="4353D0CD"/>
    <w:multiLevelType w:val="hybridMultilevel"/>
    <w:lvl w:ilvl="0">
      <w:lvlJc w:val="left"/>
      <w:lvlText w:val="%1."/>
      <w:numFmt w:val="decimal"/>
      <w:start w:val="16"/>
    </w:lvl>
  </w:abstractNum>
  <w:abstractNum w:abstractNumId="25">
    <w:nsid w:val="B03E0C6"/>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2026-05-15T15:10:48Z</dcterms:created>
  <dcterms:modified xsi:type="dcterms:W3CDTF">2026-05-15T15:10:48Z</dcterms:modified>
</cp:coreProperties>
</file>