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699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6997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Haltmayer Neven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2590 ORCHARD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HARMONIC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HLIT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7"/>
          <w:szCs w:val="17"/>
          <w:color w:val="0000FF"/>
        </w:rPr>
        <w:t>SVP &amp; GM, Video Business</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3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44,600</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185,113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06/16/2026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23,751</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161,362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8,777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6"/>
                <w:szCs w:val="6"/>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06/16/2026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rPr>
              <w:t>8,777</w:t>
            </w:r>
          </w:p>
        </w:tc>
        <w:tc>
          <w:tcPr>
            <w:tcW w:w="76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02/15/2025</w:t>
            </w: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02/15/2027</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5,449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6"/>
                <w:szCs w:val="6"/>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06/16/2026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rPr>
              <w:t>5,449</w:t>
            </w:r>
          </w:p>
        </w:tc>
        <w:tc>
          <w:tcPr>
            <w:tcW w:w="76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06/01/2025</w:t>
            </w: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06/01/2027</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19,329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06/16/2026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19,329</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02/15/2026</w:t>
            </w:r>
          </w:p>
        </w:tc>
        <w:tc>
          <w:tcPr>
            <w:tcW w:w="7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02/15/2028</w:t>
            </w: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-2763520</wp:posOffset>
            </wp:positionV>
            <wp:extent cx="29210" cy="2768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686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completion of the sale of the Video Business of Harmonic Inc. (the "Company") to MediaKind on June 16, 2026, the Compensation Committee of the Company's Board of Directors approved the accelerated vesting of 50% of the Reporting Person's outstanding and unvested restricted stock units originally granted on February 16, 2024, September 12, 2024 and February 22, 2025, and 50% of the Reporting Person's target award of performance-based restricted stock units originally awarded on April 29, 2025.</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HLIT common stock.</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Wendi Ninh,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567" TargetMode="External"/><Relationship Id="rId14" Type="http://schemas.openxmlformats.org/officeDocument/2006/relationships/hyperlink" Target="http://www.sec.gov/cgi-bin/browse-edgar?action=getcompany&amp;CIK=00008513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2026-06-22T08:08:19Z</dcterms:created>
  <dcterms:modified xsi:type="dcterms:W3CDTF">2026-06-22T08:08:19Z</dcterms:modified>
</cp:coreProperties>
</file>