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section2">
        <w:bookmarkStart w:id="0" w:name="hlit-20260703.htm"/>
        <w:bookmarkStart w:id="1" w:name="kshlit20260703"/>
        <w:bookmarkEnd w:id="0"/>
        <w:bookmarkEnd w:id="1"/>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spacing w:before="80" w:after="283"/>
        <w:jc w:val="center"/>
        <w:rPr/>
      </w:pPr>
      <w:r>
        <w:rPr/>
        <w:t> </w:t>
      </w:r>
    </w:p>
    <w:p>
      <w:pPr>
        <w:pStyle w:val="TextBody"/>
        <w:bidi w:val="0"/>
        <w:spacing w:before="100" w:after="100"/>
        <w:jc w:val="center"/>
        <w:rPr>
          <w:rFonts w:ascii="Times New Roman" w:hAnsi="Times New Roman"/>
          <w:color w:val="000000"/>
          <w:sz w:val="16"/>
        </w:rPr>
      </w:pPr>
      <w:r>
        <w:rPr>
          <w:rFonts w:ascii="Times New Roman" w:hAnsi="Times New Roman"/>
          <w:color w:val="000000"/>
          <w:sz w:val="16"/>
        </w:rPr>
        <w:t>(Mark One)</w:t>
      </w:r>
    </w:p>
    <w:tbl>
      <w:tblPr>
        <w:tblW w:w="9421" w:type="dxa"/>
        <w:jc w:val="left"/>
        <w:tblInd w:w="0" w:type="dxa"/>
        <w:tblLayout w:type="fixed"/>
        <w:tblCellMar>
          <w:top w:w="28" w:type="dxa"/>
          <w:left w:w="28" w:type="dxa"/>
          <w:bottom w:w="28" w:type="dxa"/>
          <w:right w:w="28" w:type="dxa"/>
        </w:tblCellMar>
      </w:tblPr>
      <w:tblGrid>
        <w:gridCol w:w="9421"/>
      </w:tblGrid>
      <w:tr>
        <w:trPr/>
        <w:tc>
          <w:tcPr>
            <w:tcW w:w="9421" w:type="dxa"/>
            <w:tcBorders/>
            <w:vAlign w:val="center"/>
          </w:tcPr>
          <w:p>
            <w:pPr>
              <w:pStyle w:val="TableContents"/>
              <w:bidi w:val="0"/>
              <w:spacing w:before="0" w:after="283"/>
              <w:jc w:val="left"/>
              <w:rPr>
                <w:sz w:val="4"/>
                <w:szCs w:val="4"/>
              </w:rPr>
            </w:pPr>
            <w:r>
              <w:rPr>
                <w:sz w:val="4"/>
                <w:szCs w:val="4"/>
              </w:rPr>
            </w:r>
          </w:p>
        </w:tc>
      </w:tr>
      <w:tr>
        <w:trPr/>
        <w:tc>
          <w:tcPr>
            <w:tcW w:w="942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Quarterly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For the Quarterly Period Ended July 3, 2026</w:t>
      </w:r>
      <w:r>
        <w:rPr>
          <w:rFonts w:ascii="Times New Roman" w:hAnsi="Times New Roman"/>
          <w:color w:val="000000"/>
          <w:sz w:val="20"/>
        </w:rPr>
        <w:t xml:space="preserve"> </w:t>
      </w:r>
    </w:p>
    <w:p>
      <w:pPr>
        <w:pStyle w:val="TextBody"/>
        <w:bidi w:val="0"/>
        <w:jc w:val="center"/>
        <w:rPr/>
      </w:pPr>
      <w:r>
        <w:rPr/>
        <w:t> </w:t>
      </w:r>
    </w:p>
    <w:tbl>
      <w:tblPr>
        <w:tblW w:w="9481" w:type="dxa"/>
        <w:jc w:val="left"/>
        <w:tblInd w:w="0" w:type="dxa"/>
        <w:tblLayout w:type="fixed"/>
        <w:tblCellMar>
          <w:top w:w="28" w:type="dxa"/>
          <w:left w:w="28" w:type="dxa"/>
          <w:bottom w:w="28" w:type="dxa"/>
          <w:right w:w="28" w:type="dxa"/>
        </w:tblCellMar>
      </w:tblPr>
      <w:tblGrid>
        <w:gridCol w:w="9481"/>
      </w:tblGrid>
      <w:tr>
        <w:trPr/>
        <w:tc>
          <w:tcPr>
            <w:tcW w:w="9481" w:type="dxa"/>
            <w:tcBorders/>
            <w:vAlign w:val="center"/>
          </w:tcPr>
          <w:p>
            <w:pPr>
              <w:pStyle w:val="TableContents"/>
              <w:bidi w:val="0"/>
              <w:spacing w:before="0" w:after="283"/>
              <w:jc w:val="left"/>
              <w:rPr>
                <w:sz w:val="4"/>
                <w:szCs w:val="4"/>
              </w:rPr>
            </w:pPr>
            <w:r>
              <w:rPr>
                <w:sz w:val="4"/>
                <w:szCs w:val="4"/>
              </w:rPr>
            </w:r>
          </w:p>
        </w:tc>
      </w:tr>
      <w:tr>
        <w:trPr/>
        <w:tc>
          <w:tcPr>
            <w:tcW w:w="948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Transition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000-25826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48"/>
        </w:rPr>
        <w:t>HARMONIC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spacing w:before="0" w:after="10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77-0201147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2590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w:t>
      </w:r>
      <w:r>
        <w:rPr>
          <w:rFonts w:ascii="Times New Roman" w:hAnsi="Times New Roman"/>
          <w:color w:val="000000"/>
          <w:sz w:val="20"/>
        </w:rPr>
        <w:t xml:space="preserve"> </w:t>
      </w:r>
      <w:r>
        <w:rPr>
          <w:rFonts w:ascii="Times New Roman" w:hAnsi="Times New Roman"/>
          <w:b/>
          <w:color w:val="000000"/>
          <w:sz w:val="20"/>
        </w:rPr>
        <w:t>95131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(408) 542-2500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2806"/>
        <w:gridCol w:w="146"/>
        <w:gridCol w:w="1696"/>
        <w:gridCol w:w="146"/>
        <w:gridCol w:w="382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641"/>
        <w:gridCol w:w="1036"/>
        <w:gridCol w:w="3076"/>
        <w:gridCol w:w="911"/>
      </w:tblGrid>
      <w:tr>
        <w:trPr/>
        <w:tc>
          <w:tcPr>
            <w:tcW w:w="26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Large 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Accelerated Filer</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Non-accelerated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Smaller reporting company</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Emerging growth company </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the registrant’s Common Stock, $0.001 par value, outstanding on August 3, 2026 was 109,066,445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0" w:after="4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9683"/>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96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INFORMATION</w:t>
      </w:r>
    </w:p>
    <w:p>
      <w:pPr>
        <w:pStyle w:val="TextBody"/>
        <w:bidi w:val="0"/>
        <w:spacing w:before="120" w:after="283"/>
        <w:jc w:val="left"/>
        <w:rPr>
          <w:rFonts w:ascii="Times New Roman" w:hAnsi="Times New Roman"/>
          <w:sz w:val="20"/>
        </w:rPr>
      </w:pPr>
      <w:bookmarkStart w:id="5" w:name="item_1_financial_statements"/>
      <w:bookmarkEnd w:id="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FINANCIAL STATEMENTS</w:t>
      </w:r>
    </w:p>
    <w:p>
      <w:pPr>
        <w:pStyle w:val="TextBody"/>
        <w:bidi w:val="0"/>
        <w:spacing w:before="120" w:after="283"/>
        <w:jc w:val="center"/>
        <w:rPr>
          <w:rFonts w:ascii="Times New Roman" w:hAnsi="Times New Roman"/>
          <w:b/>
          <w:color w:val="000000"/>
          <w:sz w:val="20"/>
        </w:rPr>
      </w:pPr>
      <w:bookmarkStart w:id="6" w:name="section5"/>
      <w:bookmarkEnd w:id="6"/>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par value)</w:t>
      </w:r>
    </w:p>
    <w:tbl>
      <w:tblPr>
        <w:tblW w:w="10205" w:type="dxa"/>
        <w:jc w:val="left"/>
        <w:tblInd w:w="0" w:type="dxa"/>
        <w:tblLayout w:type="fixed"/>
        <w:tblCellMar>
          <w:top w:w="28" w:type="dxa"/>
          <w:left w:w="28" w:type="dxa"/>
          <w:bottom w:w="28" w:type="dxa"/>
          <w:right w:w="28" w:type="dxa"/>
        </w:tblCellMar>
      </w:tblPr>
      <w:tblGrid>
        <w:gridCol w:w="7337"/>
        <w:gridCol w:w="211"/>
        <w:gridCol w:w="1018"/>
        <w:gridCol w:w="146"/>
        <w:gridCol w:w="213"/>
        <w:gridCol w:w="1280"/>
      </w:tblGrid>
      <w:tr>
        <w:trPr/>
        <w:tc>
          <w:tcPr>
            <w:tcW w:w="7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124,105</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 of $136 and $227 as of July 3,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85,935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47,840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12,530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223,961</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60,900</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2,944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23,093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31,519</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6,433</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48,288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to be disposed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85,671</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197,948</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109,140</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14,664</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335,237</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no shares issued or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 shares authorized; 109,024 and 111,186 shares issued and outstanding at July 3, 2026 and December 31, 2025,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111</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2,466,177</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(2,076,406)</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r>
      <w:tr>
        <w:trPr/>
        <w:tc>
          <w:tcPr>
            <w:tcW w:w="7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383,246</w:t>
            </w:r>
          </w:p>
        </w:tc>
      </w:tr>
      <w:tr>
        <w:trPr/>
        <w:tc>
          <w:tcPr>
            <w:tcW w:w="7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718,483</w:t>
            </w:r>
          </w:p>
        </w:tc>
      </w:tr>
    </w:tbl>
    <w:p>
      <w:pPr>
        <w:pStyle w:val="TextBody"/>
        <w:bidi w:val="0"/>
        <w:spacing w:before="160" w:after="30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4486"/>
        <w:gridCol w:w="211"/>
        <w:gridCol w:w="796"/>
        <w:gridCol w:w="146"/>
        <w:gridCol w:w="239"/>
        <w:gridCol w:w="886"/>
        <w:gridCol w:w="146"/>
        <w:gridCol w:w="211"/>
        <w:gridCol w:w="796"/>
        <w:gridCol w:w="146"/>
        <w:gridCol w:w="211"/>
        <w:gridCol w:w="1026"/>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144,126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27,670</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74,086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85,530</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37,656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40,263</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1,637</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net of tax</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0.01</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0.08</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114,855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7" w:name="section7"/>
      <w:bookmarkEnd w:id="7"/>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8569" w:type="dxa"/>
        <w:jc w:val="left"/>
        <w:tblInd w:w="0" w:type="dxa"/>
        <w:tblLayout w:type="fixed"/>
        <w:tblCellMar>
          <w:top w:w="28" w:type="dxa"/>
          <w:left w:w="28" w:type="dxa"/>
          <w:bottom w:w="28" w:type="dxa"/>
          <w:right w:w="28" w:type="dxa"/>
        </w:tblCellMar>
      </w:tblPr>
      <w:tblGrid>
        <w:gridCol w:w="3826"/>
        <w:gridCol w:w="235"/>
        <w:gridCol w:w="770"/>
        <w:gridCol w:w="146"/>
        <w:gridCol w:w="303"/>
        <w:gridCol w:w="822"/>
        <w:gridCol w:w="146"/>
        <w:gridCol w:w="235"/>
        <w:gridCol w:w="770"/>
        <w:gridCol w:w="146"/>
        <w:gridCol w:w="240"/>
        <w:gridCol w:w="930"/>
      </w:tblGrid>
      <w:tr>
        <w:trPr/>
        <w:tc>
          <w:tcPr>
            <w:tcW w:w="38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8,811</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tax</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6,664</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8" w:name="section8"/>
      <w:bookmarkEnd w:id="8"/>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304"/>
        <w:gridCol w:w="912"/>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 2026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April 3, 2026</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355,154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July 3, 2026</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360,346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270"/>
        <w:gridCol w:w="946"/>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27, 2025</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2025</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446,130</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2025</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446,402</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304"/>
        <w:gridCol w:w="912"/>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 2026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383,246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July 3, 2026</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360,346</w:t>
            </w:r>
          </w:p>
        </w:tc>
      </w:tr>
    </w:tbl>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270"/>
        <w:gridCol w:w="946"/>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27, 2025</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465,258</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(50,102)</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2025</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446,402</w:t>
            </w:r>
          </w:p>
        </w:tc>
      </w:tr>
    </w:tbl>
    <w:p>
      <w:pPr>
        <w:pStyle w:val="TextBody"/>
        <w:bidi w:val="0"/>
        <w:spacing w:before="120" w:after="283"/>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section9"/>
      <w:bookmarkEnd w:id="9"/>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17"/>
        <w:gridCol w:w="211"/>
        <w:gridCol w:w="886"/>
        <w:gridCol w:w="146"/>
        <w:gridCol w:w="211"/>
        <w:gridCol w:w="1334"/>
      </w:tblGrid>
      <w:tr>
        <w:trPr/>
        <w:tc>
          <w:tcPr>
            <w:tcW w:w="7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Continuing and Discontinued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8,811</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5,392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 impairment and related charges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1,637</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16,162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remeasurement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596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(2,718)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divestiture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1,988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58,067</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(6,607)</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(492)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3,030</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2,202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(16,151)</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71,908</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Proceeds from divestiture, net of cash retained and transaction costs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40,000</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 and other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(42,466)</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(50,102)</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other borrowings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3,835</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to employees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3,056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(48,883)</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 and 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 and restricted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22,485</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and restricted cash at beginning of period </w:t>
            </w: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101,789</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at end of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123,918</w:t>
            </w:r>
          </w:p>
        </w:tc>
      </w:tr>
      <w:tr>
        <w:trPr/>
        <w:tc>
          <w:tcPr>
            <w:tcW w:w="7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r>
      <w:tr>
        <w:trPr/>
        <w:tc>
          <w:tcPr>
            <w:tcW w:w="7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in the condensed consolidated statement of cash flows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FFFFFF"/>
          <w:sz w:val="13"/>
        </w:rPr>
      </w:pPr>
      <w:r>
        <w:rPr>
          <w:rFonts w:ascii="Times New Roman" w:hAnsi="Times New Roman"/>
          <w:color w:val="FFFFFF"/>
          <w:sz w:val="13"/>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Net proceeds from divestiture includes transaction costs of $3.8 million and cash retained in the business sold of $2.1 million.</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Restricted cash included in other current assets was $356,000 and $332,000 as of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047" w:type="dxa"/>
        <w:jc w:val="left"/>
        <w:tblInd w:w="0" w:type="dxa"/>
        <w:tblLayout w:type="fixed"/>
        <w:tblCellMar>
          <w:top w:w="28" w:type="dxa"/>
          <w:left w:w="28" w:type="dxa"/>
          <w:bottom w:w="28" w:type="dxa"/>
          <w:right w:w="28" w:type="dxa"/>
        </w:tblCellMar>
      </w:tblPr>
      <w:tblGrid>
        <w:gridCol w:w="4726"/>
        <w:gridCol w:w="271"/>
        <w:gridCol w:w="734"/>
        <w:gridCol w:w="146"/>
        <w:gridCol w:w="218"/>
        <w:gridCol w:w="952"/>
      </w:tblGrid>
      <w:tr>
        <w:trPr/>
        <w:tc>
          <w:tcPr>
            <w:tcW w:w="47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payments, net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13,764</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payments, net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activities: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incurred but not yet paid</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bookmarkStart w:id="10" w:name="section10"/>
      <w:bookmarkEnd w:id="10"/>
      <w:r>
        <w:rPr>
          <w:rFonts w:ascii="Times New Roman" w:hAnsi="Times New Roman"/>
          <w:b/>
          <w:color w:val="000000"/>
          <w:sz w:val="20"/>
        </w:rPr>
        <w:t>HARMONIC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spacing w:before="120" w:after="283"/>
        <w:jc w:val="left"/>
        <w:rPr>
          <w:rFonts w:ascii="Times New Roman" w:hAnsi="Times New Roman"/>
          <w:b/>
          <w:color w:val="000000"/>
          <w:sz w:val="20"/>
        </w:rPr>
      </w:pPr>
      <w:bookmarkStart w:id="11" w:name="section11"/>
      <w:bookmarkEnd w:id="11"/>
      <w:r>
        <w:rPr>
          <w:rFonts w:ascii="Times New Roman" w:hAnsi="Times New Roman"/>
          <w:b/>
          <w:color w:val="000000"/>
          <w:sz w:val="20"/>
        </w:rPr>
        <w:t>NOTE 1: BASIS OF PRESENTATION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(“U.S. GAAP”) and applicable rules and regulations of the Securities and Exchange Commission (“SEC”) for interim financial information. As permitted under those rules, certain footnotes or other financial information that are normally required by GAAP can be condensed or omitted. These financial statements have been prepared on the same basis as our annual consolidated financial statements and, in the opinion of management, reflect all normal recurring adjustments, which are necessary for the fair statement of our financial information. As such, the information included in this Quarterly Report on Form 10-Q should be read in conjunction with the Company’s audited consolidated financial statements and accompanying notes included in our Annual Report on Form 10-K for the year ended December 31, 2025 (“2025 Form 10-K”) as filed with the SEC on February 24, 2026. Operating results for interim periods are not necessarily indicative of the results that may be expected for any subsequent quarter or for the fiscal year ending December 31, 2026. All intercompany balances and transactions have been eliminated in consolidation. Continuing operations consist of the Broadband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included in the 2025 Form 10-K. There have been no significant changes to these policies during the six months ended July 3,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reported, on December 8, 2025, the Company entered into a Put Option Agreement to sell its Video business to Leone Media Inc. (d/b/a MediaKind) (the “Buyer”) for a purchase price of $145 million in cash. On March 20, 2026, the Buyer and the Company executed the Asset Purchase Agreement (the "APA"). On June 16, 2026, the Company completed the sale of its Video business to the Buyer pursuant to the APA. Proceeds from the sale were $137.9 million paid at closing, subject to final adjustments under the terms of the APA. Following the disposition, Harmonic operates as a pure-play broadband company with a single reportable segment: Broadband.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results of the Video business are presented as discontinued operations in the accompanying unaudited condensed consolidated statement of operations for all periods presented. The assets and liabilities of the Video business have been reflected as assets and liabilities of discontinued operations in the accompanying unaudited condensed consolidated balance sheet for all prior periods presented.</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Unless otherwise noted, all amounts and disclosures included in these Notes to unaudited condensed consolidated financial statements reflect only our continuing operations. Refer to Note 3 for additional details on discontinued operations.</w:t>
      </w:r>
    </w:p>
    <w:p>
      <w:pPr>
        <w:pStyle w:val="TextBody"/>
        <w:bidi w:val="0"/>
        <w:spacing w:before="60" w:after="283"/>
        <w:jc w:val="left"/>
        <w:rPr>
          <w:rFonts w:ascii="Times New Roman" w:hAnsi="Times New Roman"/>
          <w:b/>
          <w:color w:val="000000"/>
          <w:sz w:val="20"/>
        </w:rPr>
      </w:pPr>
      <w:bookmarkStart w:id="12" w:name="section12"/>
      <w:bookmarkEnd w:id="12"/>
      <w:r>
        <w:rPr>
          <w:rFonts w:ascii="Times New Roman" w:hAnsi="Times New Roman"/>
          <w:b/>
          <w:color w:val="000000"/>
          <w:sz w:val="20"/>
        </w:rPr>
        <w:t>NOTE 2: RECENT ACCOUNTING PRONOUNCEMENTS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New Accounting Pronouncements Not Yet Adopted</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("ASU") No. 2024-03, Income Statement - Reporting Comprehensive Income - Expense Disaggregation Disclosures. The ASU requires entities to disclose specified information about certain expenses in the notes to the financial statements, including employee compensation. The ASU is effective on a prospective basis for annual periods beginning after December 15, 2026 and interim periods within fiscal years beginning after December 15, 2027 with early adoption permitted. The Company is currently assessing the impact of this ASU on our consolidated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DISCONTINUED OPERATIONS</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As previously reported, on December 8, 2025, the Company entered into a Put Option Agreement to divest its Video business to Leone Media Inc. for $145 million, subject to working capital and other adjustments. On June 16, 2026, the Company completed the sale of its Video business with proceeds of $137.9 million, subject to final adjustments under the terms of the APA. The following table summarizes the carrying values of the assets and liabilities classified as held-for-sale in our consolidated balance sheets:</w:t>
      </w:r>
    </w:p>
    <w:tbl>
      <w:tblPr>
        <w:tblW w:w="7989" w:type="dxa"/>
        <w:jc w:val="left"/>
        <w:tblInd w:w="0" w:type="dxa"/>
        <w:tblLayout w:type="fixed"/>
        <w:tblCellMar>
          <w:top w:w="28" w:type="dxa"/>
          <w:left w:w="28" w:type="dxa"/>
          <w:bottom w:w="28" w:type="dxa"/>
          <w:right w:w="28" w:type="dxa"/>
        </w:tblCellMar>
      </w:tblPr>
      <w:tblGrid>
        <w:gridCol w:w="3216"/>
        <w:gridCol w:w="346"/>
        <w:gridCol w:w="346"/>
        <w:gridCol w:w="346"/>
        <w:gridCol w:w="346"/>
        <w:gridCol w:w="346"/>
        <w:gridCol w:w="346"/>
        <w:gridCol w:w="503"/>
        <w:gridCol w:w="503"/>
        <w:gridCol w:w="146"/>
        <w:gridCol w:w="263"/>
        <w:gridCol w:w="1282"/>
      </w:tblGrid>
      <w:tr>
        <w:trPr/>
        <w:tc>
          <w:tcPr>
            <w:tcW w:w="32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38,895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23,890</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13,207</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1,296</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123,479</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8,742</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held for sale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223,961</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other borrowings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5,605</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8,004</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26,577</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22,936</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borrowings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8,076</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14,473</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to be disposed of</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85,671</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Assets and liabilities classified as held for sale are required to be recorded at the lower of carrying value or fair value less costs to sell. As of December 31, 2025, we determined that the fair value of the Video business, including costs to sell, was lower than its carrying value and we recorded goodwill impairment charge of $57.5 million. On June 16, 2026, the effective date of the sale, we recorded an additional loss on disposal of $6.3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operating results of the discontinued operations only reflect revenues and expenses that are directly attributable to the Video business that will be eliminated from continuing operations. The following table presents key components of "Income (loss) from discontinued operations, net of tax" for all periods presented:</w:t>
      </w:r>
    </w:p>
    <w:tbl>
      <w:tblPr>
        <w:tblW w:w="10043" w:type="dxa"/>
        <w:jc w:val="left"/>
        <w:tblInd w:w="0" w:type="dxa"/>
        <w:tblLayout w:type="fixed"/>
        <w:tblCellMar>
          <w:top w:w="28" w:type="dxa"/>
          <w:left w:w="28" w:type="dxa"/>
          <w:bottom w:w="28" w:type="dxa"/>
          <w:right w:w="28" w:type="dxa"/>
        </w:tblCellMar>
      </w:tblPr>
      <w:tblGrid>
        <w:gridCol w:w="5296"/>
        <w:gridCol w:w="211"/>
        <w:gridCol w:w="796"/>
        <w:gridCol w:w="146"/>
        <w:gridCol w:w="267"/>
        <w:gridCol w:w="858"/>
        <w:gridCol w:w="146"/>
        <w:gridCol w:w="211"/>
        <w:gridCol w:w="796"/>
        <w:gridCol w:w="146"/>
        <w:gridCol w:w="218"/>
        <w:gridCol w:w="952"/>
      </w:tblGrid>
      <w:tr>
        <w:trPr/>
        <w:tc>
          <w:tcPr>
            <w:tcW w:w="5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99,366</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33,265</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66,101</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23,135</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35,029</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58,386</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discontinued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discontinued operations, net of tax</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be involved with the Buyer pursuant to a transition services agreement, through which the Company and the Buyer will continue to provide certain services (mainly IT support and facilities) to each other over a period of up to 12 months following the date of sale. Certain services may be extended for up to an additional three months upon mutual agreement. During the second quarter of 2026, transition services agreement income, net was $0.4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ASC 205-20, cash flows from discontinued operations are not separately presented on the face of the consolidated statement of cash flows. The following table presents the significant operating and investing cash flow items related to the Video business:</w:t>
      </w:r>
    </w:p>
    <w:p>
      <w:pPr>
        <w:pStyle w:val="TextBody"/>
        <w:bidi w:val="0"/>
        <w:jc w:val="left"/>
        <w:rPr/>
      </w:pPr>
      <w:r>
        <w:rPr/>
        <w:t> </w:t>
      </w:r>
    </w:p>
    <w:tbl>
      <w:tblPr>
        <w:tblW w:w="7443" w:type="dxa"/>
        <w:jc w:val="left"/>
        <w:tblInd w:w="0" w:type="dxa"/>
        <w:tblLayout w:type="fixed"/>
        <w:tblCellMar>
          <w:top w:w="28" w:type="dxa"/>
          <w:left w:w="28" w:type="dxa"/>
          <w:bottom w:w="28" w:type="dxa"/>
          <w:right w:w="28" w:type="dxa"/>
        </w:tblCellMar>
      </w:tblPr>
      <w:tblGrid>
        <w:gridCol w:w="3246"/>
        <w:gridCol w:w="346"/>
        <w:gridCol w:w="346"/>
        <w:gridCol w:w="346"/>
        <w:gridCol w:w="346"/>
        <w:gridCol w:w="346"/>
        <w:gridCol w:w="146"/>
        <w:gridCol w:w="271"/>
        <w:gridCol w:w="734"/>
        <w:gridCol w:w="146"/>
        <w:gridCol w:w="240"/>
        <w:gridCol w:w="930"/>
      </w:tblGrid>
      <w:tr>
        <w:trPr/>
        <w:tc>
          <w:tcPr>
            <w:tcW w:w="3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5,490</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r>
      <w:tr>
        <w:trPr/>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section13"/>
      <w:bookmarkEnd w:id="13"/>
      <w:r>
        <w:rPr>
          <w:rFonts w:ascii="Times New Roman" w:hAnsi="Times New Roman"/>
          <w:b/>
          <w:color w:val="000000"/>
          <w:sz w:val="20"/>
        </w:rPr>
        <w:t>NOTE 4: CONTRACT ASSETS AND DEFERRED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assets exist when the Company has satisfied a performance obligation but does not have an unconditional right to consideration (e.g., because the entity first must satisfy another performance obligation in the contract before it is entitled to invoice the customer).</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Contract assets and deferred revenue consisted of the following:</w:t>
      </w:r>
    </w:p>
    <w:tbl>
      <w:tblPr>
        <w:tblW w:w="4197" w:type="dxa"/>
        <w:jc w:val="left"/>
        <w:tblInd w:w="0" w:type="dxa"/>
        <w:tblLayout w:type="fixed"/>
        <w:tblCellMar>
          <w:top w:w="28" w:type="dxa"/>
          <w:left w:w="28" w:type="dxa"/>
          <w:bottom w:w="28" w:type="dxa"/>
          <w:right w:w="28" w:type="dxa"/>
        </w:tblCellMar>
      </w:tblPr>
      <w:tblGrid>
        <w:gridCol w:w="1501"/>
        <w:gridCol w:w="239"/>
        <w:gridCol w:w="766"/>
        <w:gridCol w:w="146"/>
        <w:gridCol w:w="350"/>
        <w:gridCol w:w="1195"/>
      </w:tblGrid>
      <w:tr>
        <w:trPr/>
        <w:tc>
          <w:tcPr>
            <w:tcW w:w="15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33,006</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 assets and the non-current portion of deferred revenue are reported as components of “Prepaid expenses and other current assets” and “Other non-current liabilities,” respectively, on the condensed consolidated balance sheets.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recognized during the three months ended July 3, 2026 and June 27, 2025 that was included within the deferred revenue balance at January 1, 2026 and January 1, 2025, was $6.1 million and $6.3 million, respectively. Revenue recognized during the six months ended July 3, 2026 and June 27, 2025 that was included within the deferred revenue balance at January 1, 2026 and January 1, 2025, was $22.6 million and $11.6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Remaining performance obligations represent contracted revenues that have not yet been recognized and include deferred revenue and unbilled amounts that will be recognized as revenue in the future. The aggregate balance of the Company’s remaining performance obligations as of July 3, 2026 was $587.6 million, 73% of which is expected to be recognized as revenue over the next 12 months and the remainder thereafter.</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Refer to Note 11, “Segment Information” for disaggregated revenue information.</w:t>
      </w:r>
    </w:p>
    <w:p>
      <w:pPr>
        <w:pStyle w:val="TextBody"/>
        <w:bidi w:val="0"/>
        <w:jc w:val="left"/>
        <w:rPr>
          <w:rFonts w:ascii="Times New Roman" w:hAnsi="Times New Roman"/>
          <w:b/>
          <w:color w:val="000000"/>
          <w:sz w:val="20"/>
        </w:rPr>
      </w:pPr>
      <w:bookmarkStart w:id="14" w:name="section14"/>
      <w:bookmarkEnd w:id="14"/>
      <w:r>
        <w:rPr>
          <w:rFonts w:ascii="Times New Roman" w:hAnsi="Times New Roman"/>
          <w:b/>
          <w:color w:val="000000"/>
          <w:sz w:val="20"/>
        </w:rPr>
        <w:t>NOTE 5: 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components of lease expense are as follows:</w:t>
      </w:r>
    </w:p>
    <w:tbl>
      <w:tblPr>
        <w:tblW w:w="6499" w:type="dxa"/>
        <w:jc w:val="left"/>
        <w:tblInd w:w="0" w:type="dxa"/>
        <w:tblLayout w:type="fixed"/>
        <w:tblCellMar>
          <w:top w:w="28" w:type="dxa"/>
          <w:left w:w="28" w:type="dxa"/>
          <w:bottom w:w="28" w:type="dxa"/>
          <w:right w:w="28" w:type="dxa"/>
        </w:tblCellMar>
      </w:tblPr>
      <w:tblGrid>
        <w:gridCol w:w="1756"/>
        <w:gridCol w:w="271"/>
        <w:gridCol w:w="734"/>
        <w:gridCol w:w="146"/>
        <w:gridCol w:w="303"/>
        <w:gridCol w:w="822"/>
        <w:gridCol w:w="146"/>
        <w:gridCol w:w="271"/>
        <w:gridCol w:w="734"/>
        <w:gridCol w:w="146"/>
        <w:gridCol w:w="281"/>
        <w:gridCol w:w="889"/>
      </w:tblGrid>
      <w:tr>
        <w:trPr/>
        <w:tc>
          <w:tcPr>
            <w:tcW w:w="1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553</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Supplemental cash flow information related to leases are as follows:</w:t>
      </w:r>
    </w:p>
    <w:tbl>
      <w:tblPr>
        <w:tblW w:w="10205" w:type="dxa"/>
        <w:jc w:val="left"/>
        <w:tblInd w:w="0" w:type="dxa"/>
        <w:tblLayout w:type="fixed"/>
        <w:tblCellMar>
          <w:top w:w="28" w:type="dxa"/>
          <w:left w:w="28" w:type="dxa"/>
          <w:bottom w:w="28" w:type="dxa"/>
          <w:right w:w="28" w:type="dxa"/>
        </w:tblCellMar>
      </w:tblPr>
      <w:tblGrid>
        <w:gridCol w:w="5558"/>
        <w:gridCol w:w="265"/>
        <w:gridCol w:w="720"/>
        <w:gridCol w:w="146"/>
        <w:gridCol w:w="295"/>
        <w:gridCol w:w="800"/>
        <w:gridCol w:w="146"/>
        <w:gridCol w:w="265"/>
        <w:gridCol w:w="720"/>
        <w:gridCol w:w="146"/>
        <w:gridCol w:w="290"/>
        <w:gridCol w:w="854"/>
      </w:tblGrid>
      <w:tr>
        <w:trPr/>
        <w:tc>
          <w:tcPr>
            <w:tcW w:w="55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5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5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5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r>
      <w:tr>
        <w:trPr/>
        <w:tc>
          <w:tcPr>
            <w:tcW w:w="5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obligations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fiscal year 2026, the Company recorded additional lease-related impairment and other charges of $0.4 million. The charges consisted of $0.1 million in right-of-use asset impairments and $0.3 million related to the fair value of other unrecoverable facility costs. These adjustments were driven by changes in underlying assumptions, including updated estimates of space utilization, sublease recoverability, and expected cost obligations.</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bookmarkStart w:id="15" w:name="section15"/>
      <w:bookmarkEnd w:id="15"/>
      <w:r>
        <w:rPr>
          <w:rFonts w:ascii="Times New Roman" w:hAnsi="Times New Roman"/>
          <w:b/>
          <w:color w:val="000000"/>
          <w:sz w:val="20"/>
        </w:rPr>
        <w:t>NOTE 6: CERTAIN BALANCE SHEET COMPONENTS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tables provide details of selected balance sheet components:</w:t>
      </w:r>
    </w:p>
    <w:tbl>
      <w:tblPr>
        <w:tblW w:w="4972" w:type="dxa"/>
        <w:jc w:val="left"/>
        <w:tblInd w:w="0" w:type="dxa"/>
        <w:tblLayout w:type="fixed"/>
        <w:tblCellMar>
          <w:top w:w="28" w:type="dxa"/>
          <w:left w:w="28" w:type="dxa"/>
          <w:bottom w:w="28" w:type="dxa"/>
          <w:right w:w="28" w:type="dxa"/>
        </w:tblCellMar>
      </w:tblPr>
      <w:tblGrid>
        <w:gridCol w:w="2076"/>
        <w:gridCol w:w="239"/>
        <w:gridCol w:w="766"/>
        <w:gridCol w:w="146"/>
        <w:gridCol w:w="300"/>
        <w:gridCol w:w="1445"/>
      </w:tblGrid>
      <w:tr>
        <w:trPr/>
        <w:tc>
          <w:tcPr>
            <w:tcW w:w="20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Inventories:</w:t>
            </w:r>
          </w:p>
        </w:tc>
        <w:tc>
          <w:tcPr>
            <w:tcW w:w="28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32,430</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8,452</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Work-in-process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4,393</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Service-related spares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2,565</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47,840</w:t>
            </w:r>
          </w:p>
        </w:tc>
      </w:tr>
    </w:tbl>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3691"/>
        <w:gridCol w:w="239"/>
        <w:gridCol w:w="766"/>
        <w:gridCol w:w="146"/>
        <w:gridCol w:w="300"/>
        <w:gridCol w:w="1445"/>
      </w:tblGrid>
      <w:tr>
        <w:trPr/>
        <w:tc>
          <w:tcPr>
            <w:tcW w:w="36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 and other current assets:</w:t>
            </w:r>
          </w:p>
        </w:tc>
        <w:tc>
          <w:tcPr>
            <w:tcW w:w="28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7,107</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1,959</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current assets </w:t>
            </w:r>
            <w:r>
              <w:rPr>
                <w:rFonts w:ascii="Times New Roman" w:hAnsi="Times New Roman"/>
                <w:color w:val="000000"/>
                <w:sz w:val="13"/>
              </w:rPr>
              <w:t>(1)</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3,464</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r>
    </w:tbl>
    <w:p>
      <w:pPr>
        <w:pStyle w:val="TextBody"/>
        <w:bidi w:val="0"/>
        <w:spacing w:before="0" w:after="100"/>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Balances as of July 3, 2026 and December 31, 2025 each included restricted cash of $0.4</w:t>
      </w:r>
      <w:r>
        <w:rPr>
          <w:rFonts w:ascii="Times New Roman" w:hAnsi="Times New Roman"/>
          <w:color w:val="000000"/>
          <w:sz w:val="20"/>
        </w:rPr>
        <w:t xml:space="preserve"> </w:t>
      </w:r>
      <w:r>
        <w:rPr>
          <w:rFonts w:ascii="Times New Roman" w:hAnsi="Times New Roman"/>
          <w:color w:val="000000"/>
          <w:sz w:val="16"/>
        </w:rPr>
        <w:t>million. Balance as of July 3, 2026 also includes a $5.5 million receivable due from MediaKind for broadband customer payments collected by the Buyer on the Company's behalf under the transition services agreement and $6.0 million of recoverable value-added tax.</w:t>
      </w:r>
    </w:p>
    <w:tbl>
      <w:tblPr>
        <w:tblW w:w="7421" w:type="dxa"/>
        <w:jc w:val="left"/>
        <w:tblInd w:w="0" w:type="dxa"/>
        <w:tblLayout w:type="fixed"/>
        <w:tblCellMar>
          <w:top w:w="28" w:type="dxa"/>
          <w:left w:w="28" w:type="dxa"/>
          <w:bottom w:w="28" w:type="dxa"/>
          <w:right w:w="28" w:type="dxa"/>
        </w:tblCellMar>
      </w:tblPr>
      <w:tblGrid>
        <w:gridCol w:w="4511"/>
        <w:gridCol w:w="211"/>
        <w:gridCol w:w="796"/>
        <w:gridCol w:w="146"/>
        <w:gridCol w:w="211"/>
        <w:gridCol w:w="1546"/>
      </w:tblGrid>
      <w:tr>
        <w:trPr/>
        <w:tc>
          <w:tcPr>
            <w:tcW w:w="4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29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Machinery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76,971</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27,163</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25,336</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fixtures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2,569</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Construction-in-progress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2,557</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gross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134,596</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(108,948)</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25,648</w:t>
            </w:r>
          </w:p>
        </w:tc>
      </w:tr>
    </w:tbl>
    <w:p>
      <w:pPr>
        <w:pStyle w:val="TextBody"/>
        <w:bidi w:val="0"/>
        <w:jc w:val="left"/>
        <w:rPr/>
      </w:pPr>
      <w:r>
        <w:rPr/>
        <w:t> </w:t>
      </w:r>
    </w:p>
    <w:tbl>
      <w:tblPr>
        <w:tblW w:w="7642" w:type="dxa"/>
        <w:jc w:val="left"/>
        <w:tblInd w:w="0" w:type="dxa"/>
        <w:tblLayout w:type="fixed"/>
        <w:tblCellMar>
          <w:top w:w="28" w:type="dxa"/>
          <w:left w:w="28" w:type="dxa"/>
          <w:bottom w:w="28" w:type="dxa"/>
          <w:right w:w="28" w:type="dxa"/>
        </w:tblCellMar>
      </w:tblPr>
      <w:tblGrid>
        <w:gridCol w:w="4746"/>
        <w:gridCol w:w="239"/>
        <w:gridCol w:w="766"/>
        <w:gridCol w:w="146"/>
        <w:gridCol w:w="276"/>
        <w:gridCol w:w="1469"/>
      </w:tblGrid>
      <w:tr>
        <w:trPr/>
        <w:tc>
          <w:tcPr>
            <w:tcW w:w="47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28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2025</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employee compensation and related expenses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13,560</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367</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customer rebates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7,270</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for excess and obsolete inventory</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8,330</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18,761</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color w:val="000000"/>
          <w:sz w:val="20"/>
        </w:rPr>
      </w:pPr>
      <w:bookmarkStart w:id="16" w:name="section16"/>
      <w:bookmarkEnd w:id="16"/>
      <w:r>
        <w:rPr>
          <w:rFonts w:ascii="Times New Roman" w:hAnsi="Times New Roman"/>
          <w:b/>
          <w:color w:val="000000"/>
          <w:sz w:val="20"/>
        </w:rPr>
        <w:t>NOTE 7: DEBT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Revolving and Term Facilities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December 2023, the Company entered into a five-year Credit Agreement (the “Credit Agreement”), by and among the Company, certain subsidiaries of the Company from time to time party thereto, the lenders from time to time party thereto, and Citibank N.A., as administrative agent for the lenders. As amended in December 2024, the Credit Agreement provides for a secured revolving credit facility in an aggregate principal amount of up to $160.0 million (the “Revolving Facility”), with a $10.0 million sublimit for the issuance of letters of credit, and a secured delayed draw term loan facility in an aggregate principal amount of up to $40.0 million (the “Term Facility”). The Revolving Facility and the Term Facility both mature on December 21, 2028. The proceeds of the loans under the Revolving Facility may be used for general corporate purposes. The proceeds of the loans under the Term Facility were required to be used to repurchase, redeem, acquire or otherwise settle the 2024 Notes. In April 2024, the Company borrowed all $40.0 million under the Term Facility in connection with settling conversions of the 2024 Notes. The Credit Agreement also includes an uncommitted accordion feature whereby the Company may increase the Revolving Facility and/or establish one or more new term loan facilities by an aggregate amount not to exceed $100.0 million during the term of the Credit Agreement, subject to certain conditions, including lender consent. In December 2024, the Company amended the Credit Agreement, increasing the revolving credit commitments from an aggregate principal amount of up to $120.0 million to $160.0 million. As a result, the Company's capacity under the accordion was reduced from $100.0 million to $60.0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Loans under the Revolving Facility and Term Facility bear interest, at a floating rate per annum equal to an adjusted Term Secured Overnight Financing Rate (“SOFR”) (based on one-, three- or six-month interest periods), plus a SOFR adjustment of 0.1% and an applicable margin of between 2.00% to 2.75%, determined based on the Company’s consolidated net leverage ratio. Unused commitments under the Revolving Facility are subject to a quarterly fee ranging from 0.25% to 0.35%, determined based on the Company’s consolidated net leverage ratio.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The Company is also required to maintain compliance with a maximum consolidated net leverage ratio and a minimum fixed charge coverage ratio, in each case, determined in accordance with the terms of the Credit Agreement. As of July 3, 2026, the Company was in compliance with the covenants under the Credit Agreement.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Repayment of the principal amount of the term loans began on December 31, 2024, in quarterly installments equal to 1.25% of the initial borrowing of $40.0 million, increasing to 1.875% beginning December 31, 2025, and to 2.50% beginning December 31, 2027. As of July 3, 2026, the Company had repaid $4.3 million of these installments, and $3.0 million was due in the following twelve months and was therefore classified as current portion of long-term debt on the condensed consolidated balance sheet. As of July 3, 2026, the Company had outstanding borrowings of $35.8 million under the Term Facility, $75.0 million under the Revolving Facility, $0.3 million of letters of credit issued, and $84.7 million of remaining capacity under the Revolving Facility. The carrying value of the borrowings under the Credit Agreement approximate their fair value because they bear interest at a market rate.</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For the three and six months ended July 3, 2026, the Company incurred interest expenses of $2.9 million and $4.3 million, respectively, on these borrowings.</w:t>
      </w:r>
    </w:p>
    <w:p>
      <w:pPr>
        <w:pStyle w:val="TextBody"/>
        <w:bidi w:val="0"/>
        <w:spacing w:before="60" w:after="120"/>
        <w:jc w:val="left"/>
        <w:rPr>
          <w:rFonts w:ascii="Times New Roman" w:hAnsi="Times New Roman"/>
          <w:b/>
          <w:color w:val="000000"/>
          <w:sz w:val="20"/>
        </w:rPr>
      </w:pPr>
      <w:bookmarkStart w:id="17" w:name="section17"/>
      <w:bookmarkEnd w:id="17"/>
      <w:r>
        <w:rPr>
          <w:rFonts w:ascii="Times New Roman" w:hAnsi="Times New Roman"/>
          <w:b/>
          <w:color w:val="000000"/>
          <w:sz w:val="20"/>
        </w:rPr>
        <w:t>NOTE 8: STOCKHOLDERS’ EQUITY</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Share-based Compensation Plans</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 sets forth the detailed allocation of the share-based compensation expense which was included in the Company’s condensed consolidated statements of operations:</w:t>
      </w:r>
    </w:p>
    <w:tbl>
      <w:tblPr>
        <w:tblW w:w="7699" w:type="dxa"/>
        <w:jc w:val="left"/>
        <w:tblInd w:w="0" w:type="dxa"/>
        <w:tblLayout w:type="fixed"/>
        <w:tblCellMar>
          <w:top w:w="28" w:type="dxa"/>
          <w:left w:w="28" w:type="dxa"/>
          <w:bottom w:w="28" w:type="dxa"/>
          <w:right w:w="28" w:type="dxa"/>
        </w:tblCellMar>
      </w:tblPr>
      <w:tblGrid>
        <w:gridCol w:w="2956"/>
        <w:gridCol w:w="271"/>
        <w:gridCol w:w="734"/>
        <w:gridCol w:w="146"/>
        <w:gridCol w:w="303"/>
        <w:gridCol w:w="822"/>
        <w:gridCol w:w="146"/>
        <w:gridCol w:w="239"/>
        <w:gridCol w:w="766"/>
        <w:gridCol w:w="146"/>
        <w:gridCol w:w="240"/>
        <w:gridCol w:w="930"/>
      </w:tblGrid>
      <w:tr>
        <w:trPr/>
        <w:tc>
          <w:tcPr>
            <w:tcW w:w="29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8,035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Restricted Stock Units</w:t>
      </w:r>
    </w:p>
    <w:tbl>
      <w:tblPr>
        <w:tblW w:w="5502" w:type="dxa"/>
        <w:jc w:val="left"/>
        <w:tblInd w:w="0" w:type="dxa"/>
        <w:tblLayout w:type="fixed"/>
        <w:tblCellMar>
          <w:top w:w="28" w:type="dxa"/>
          <w:left w:w="28" w:type="dxa"/>
          <w:bottom w:w="28" w:type="dxa"/>
          <w:right w:w="28" w:type="dxa"/>
        </w:tblCellMar>
      </w:tblPr>
      <w:tblGrid>
        <w:gridCol w:w="2971"/>
        <w:gridCol w:w="154"/>
        <w:gridCol w:w="731"/>
        <w:gridCol w:w="146"/>
        <w:gridCol w:w="308"/>
        <w:gridCol w:w="1192"/>
      </w:tblGrid>
      <w:tr>
        <w:trPr/>
        <w:tc>
          <w:tcPr>
            <w:tcW w:w="29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w:t>
              <w:br/>
              <w:t>Value Per Share</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10.36</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8.99</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10.30</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July 3, 2026</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r>
    </w:tbl>
    <w:p>
      <w:pPr>
        <w:pStyle w:val="TextBody"/>
        <w:bidi w:val="0"/>
        <w:spacing w:before="40" w:after="283"/>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stock benefit plans include the 2002 Employee Stock Purchase Plan (as amended and restated, the “ESPP”) and, the 2025 Equity Incentive Plan. Refer to Note 9, “Employee Benefit Plans” of Notes to Consolidated Financial Statements in the 2025 Form 10-K for details pertaining to each plan.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June 4, 2026, at the Company’s annual meeting, stockholders approved an amendment to the Company's 2025 Equity Incentive Plan to increase the number of shares of common stock reserved for issuance thereunder by 3,000,000 shares.</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 xml:space="preserve">As of July 3, 2026, an aggregate of 10,154,740 shares of common stock were reserved for issuance under the 2025 Equity Incentive Plan, of which 6,427,978 shares remained available for future grants. </w:t>
        <w:br/>
        <w:t> </w:t>
      </w:r>
    </w:p>
    <w:p>
      <w:pPr>
        <w:pStyle w:val="TextBody"/>
        <w:bidi w:val="0"/>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February 2025, the Board of Directors terminated the Company’s existing stock repurchase program and authorized a new program under which the Company may repurchase up to $200 million of its outstanding shares of common stock through February 2028. 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There were no repurchases during the three months ended July 3, 2026.</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July 3, 2026, the Company repurchased and retired approximately 4.2 million shares of the Company’s common stock for an aggregate amount of $43.0 million. As of July 3, 2026, approximately $78.0 million of share repurchase authorization remained available for repurchases under this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Inflation Reduction Act of 2022, which was enacted into law on August 16, 2022, imposed a nondeductible 1% excise tax on the net value of certain stock repurchases made after December 31, 2022. During the six months ended July 3, 2026 and June 27, 2025, the Company recorded excise taxes of $0.3 million and $0.4 million, respectively, as a component of accumulated deficit to account for the incremental cost of the shares repurchased.</w:t>
      </w:r>
    </w:p>
    <w:p>
      <w:pPr>
        <w:pStyle w:val="TextBody"/>
        <w:bidi w:val="0"/>
        <w:jc w:val="left"/>
        <w:rPr/>
      </w:pPr>
      <w:r>
        <w:rPr/>
        <w:t> </w:t>
      </w:r>
    </w:p>
    <w:p>
      <w:pPr>
        <w:pStyle w:val="TextBody"/>
        <w:bidi w:val="0"/>
        <w:spacing w:before="360" w:after="283"/>
        <w:jc w:val="left"/>
        <w:rPr>
          <w:rFonts w:ascii="Times New Roman" w:hAnsi="Times New Roman"/>
          <w:sz w:val="20"/>
        </w:rPr>
      </w:pPr>
      <w:bookmarkStart w:id="18" w:name="section18"/>
      <w:bookmarkEnd w:id="18"/>
      <w:r>
        <w:rPr>
          <w:rFonts w:ascii="Times New Roman" w:hAnsi="Times New Roman"/>
          <w:b/>
          <w:color w:val="000000"/>
          <w:sz w:val="20"/>
        </w:rPr>
        <w:t>NOTE 9: FAIR VALUE MEASUREMENTS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applicable accounting guidance establishes a framework for measuring fair value and requires disclosure about the fair value measurements of assets and liabilities. This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follows: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1 - Observable inputs that reflect quoted prices for identical assets or liabilities in active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carrying value of the Company’s financial instruments, including cash equivalents, accounts receivable, accounts payable and accrued liabilities, approximate fair value due to their short maturities.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sets forth the fair value of the Company’s financial assets measured at fair value on a recurring basis based on the three-tier fair value hierarchy (in thousands):</w:t>
      </w:r>
    </w:p>
    <w:p>
      <w:pPr>
        <w:pStyle w:val="TextBody"/>
        <w:bidi w:val="0"/>
        <w:jc w:val="left"/>
        <w:rPr/>
      </w:pPr>
      <w:r>
        <w:rPr/>
        <w:t> </w:t>
      </w:r>
    </w:p>
    <w:tbl>
      <w:tblPr>
        <w:tblW w:w="9136" w:type="dxa"/>
        <w:jc w:val="left"/>
        <w:tblInd w:w="0" w:type="dxa"/>
        <w:tblLayout w:type="fixed"/>
        <w:tblCellMar>
          <w:top w:w="28" w:type="dxa"/>
          <w:left w:w="28" w:type="dxa"/>
          <w:bottom w:w="28" w:type="dxa"/>
          <w:right w:w="28" w:type="dxa"/>
        </w:tblCellMar>
      </w:tblPr>
      <w:tblGrid>
        <w:gridCol w:w="2001"/>
        <w:gridCol w:w="211"/>
        <w:gridCol w:w="676"/>
        <w:gridCol w:w="146"/>
        <w:gridCol w:w="239"/>
        <w:gridCol w:w="391"/>
        <w:gridCol w:w="146"/>
        <w:gridCol w:w="239"/>
        <w:gridCol w:w="391"/>
        <w:gridCol w:w="146"/>
        <w:gridCol w:w="211"/>
        <w:gridCol w:w="676"/>
        <w:gridCol w:w="146"/>
        <w:gridCol w:w="211"/>
        <w:gridCol w:w="676"/>
        <w:gridCol w:w="146"/>
        <w:gridCol w:w="239"/>
        <w:gridCol w:w="391"/>
        <w:gridCol w:w="146"/>
        <w:gridCol w:w="239"/>
        <w:gridCol w:w="391"/>
        <w:gridCol w:w="146"/>
        <w:gridCol w:w="211"/>
        <w:gridCol w:w="721"/>
      </w:tblGrid>
      <w:tr>
        <w:trPr/>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financial instruments not recorded at fair value on a recurring basis were as follows: </w:t>
      </w:r>
    </w:p>
    <w:p>
      <w:pPr>
        <w:pStyle w:val="TextBody"/>
        <w:bidi w:val="0"/>
        <w:jc w:val="left"/>
        <w:rPr/>
      </w:pPr>
      <w:r>
        <w:rPr/>
        <w:t> </w:t>
      </w:r>
    </w:p>
    <w:tbl>
      <w:tblPr>
        <w:tblW w:w="8936" w:type="dxa"/>
        <w:jc w:val="left"/>
        <w:tblInd w:w="0" w:type="dxa"/>
        <w:tblLayout w:type="fixed"/>
        <w:tblCellMar>
          <w:top w:w="28" w:type="dxa"/>
          <w:left w:w="28" w:type="dxa"/>
          <w:bottom w:w="28" w:type="dxa"/>
          <w:right w:w="28" w:type="dxa"/>
        </w:tblCellMar>
      </w:tblPr>
      <w:tblGrid>
        <w:gridCol w:w="1381"/>
        <w:gridCol w:w="211"/>
        <w:gridCol w:w="781"/>
        <w:gridCol w:w="146"/>
        <w:gridCol w:w="239"/>
        <w:gridCol w:w="391"/>
        <w:gridCol w:w="146"/>
        <w:gridCol w:w="211"/>
        <w:gridCol w:w="781"/>
        <w:gridCol w:w="146"/>
        <w:gridCol w:w="239"/>
        <w:gridCol w:w="391"/>
        <w:gridCol w:w="146"/>
        <w:gridCol w:w="211"/>
        <w:gridCol w:w="781"/>
        <w:gridCol w:w="146"/>
        <w:gridCol w:w="239"/>
        <w:gridCol w:w="391"/>
        <w:gridCol w:w="146"/>
        <w:gridCol w:w="211"/>
        <w:gridCol w:w="781"/>
        <w:gridCol w:w="146"/>
        <w:gridCol w:w="236"/>
        <w:gridCol w:w="439"/>
      </w:tblGrid>
      <w:tr>
        <w:trPr/>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0" w:after="300"/>
        <w:jc w:val="left"/>
        <w:rPr>
          <w:rFonts w:ascii="Times New Roman" w:hAnsi="Times New Roman"/>
          <w:color w:val="000000"/>
          <w:sz w:val="20"/>
        </w:rPr>
      </w:pPr>
      <w:r>
        <w:rPr>
          <w:rFonts w:ascii="Times New Roman" w:hAnsi="Times New Roman"/>
          <w:color w:val="000000"/>
          <w:sz w:val="20"/>
        </w:rPr>
        <w:t>The carrying values of the amounts outstanding under the Credit Agreement approximate fair value because its variable interest rates are tied to market rates and the applicable credit spreads represent current market rates for the credit risk profile of the Company.</w:t>
      </w:r>
    </w:p>
    <w:p>
      <w:pPr>
        <w:pStyle w:val="TextBody"/>
        <w:bidi w:val="0"/>
        <w:spacing w:before="60" w:after="283"/>
        <w:jc w:val="left"/>
        <w:rPr>
          <w:rFonts w:ascii="Times New Roman" w:hAnsi="Times New Roman"/>
          <w:b/>
          <w:color w:val="000000"/>
          <w:sz w:val="20"/>
        </w:rPr>
      </w:pPr>
      <w:bookmarkStart w:id="19" w:name="section19"/>
      <w:bookmarkEnd w:id="19"/>
      <w:r>
        <w:rPr>
          <w:rFonts w:ascii="Times New Roman" w:hAnsi="Times New Roman"/>
          <w:b/>
          <w:color w:val="000000"/>
          <w:sz w:val="20"/>
        </w:rPr>
        <w:t>NOTE 10: NET INCOME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for the period by the weighted-average number of common shares outstanding during the period. Diluted earnings per share is calculated by dividing net income by the weighted-average number of common shares and potentially dilutive securities outstanding during the period using the treasury stock method for the Company’s restricted stock units and shares issuable under the ESPP.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income per share:</w:t>
      </w:r>
    </w:p>
    <w:tbl>
      <w:tblPr>
        <w:tblW w:w="9095" w:type="dxa"/>
        <w:jc w:val="left"/>
        <w:tblInd w:w="0" w:type="dxa"/>
        <w:tblLayout w:type="fixed"/>
        <w:tblCellMar>
          <w:top w:w="28" w:type="dxa"/>
          <w:left w:w="28" w:type="dxa"/>
          <w:bottom w:w="28" w:type="dxa"/>
          <w:right w:w="28" w:type="dxa"/>
        </w:tblCellMar>
      </w:tblPr>
      <w:tblGrid>
        <w:gridCol w:w="4081"/>
        <w:gridCol w:w="211"/>
        <w:gridCol w:w="796"/>
        <w:gridCol w:w="146"/>
        <w:gridCol w:w="239"/>
        <w:gridCol w:w="886"/>
        <w:gridCol w:w="146"/>
        <w:gridCol w:w="211"/>
        <w:gridCol w:w="796"/>
        <w:gridCol w:w="146"/>
        <w:gridCol w:w="211"/>
        <w:gridCol w:w="1226"/>
      </w:tblGrid>
      <w:tr>
        <w:trPr/>
        <w:tc>
          <w:tcPr>
            <w:tcW w:w="4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1,512</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discontinued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114,855</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394</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purchase rights under the ESPP</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115,256</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0.01</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0.08</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0.01</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Discontinued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0.07</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potential dilutive shares that were excluded from the computation of diluted net income per share, because their effects were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pPr>
      <w:r>
        <w:rPr/>
        <w:t> </w:t>
      </w:r>
    </w:p>
    <w:tbl>
      <w:tblPr>
        <w:tblW w:w="7911" w:type="dxa"/>
        <w:jc w:val="left"/>
        <w:tblInd w:w="0" w:type="dxa"/>
        <w:tblLayout w:type="fixed"/>
        <w:tblCellMar>
          <w:top w:w="28" w:type="dxa"/>
          <w:left w:w="28" w:type="dxa"/>
          <w:bottom w:w="28" w:type="dxa"/>
          <w:right w:w="28" w:type="dxa"/>
        </w:tblCellMar>
      </w:tblPr>
      <w:tblGrid>
        <w:gridCol w:w="3151"/>
        <w:gridCol w:w="258"/>
        <w:gridCol w:w="747"/>
        <w:gridCol w:w="163"/>
        <w:gridCol w:w="228"/>
        <w:gridCol w:w="897"/>
        <w:gridCol w:w="146"/>
        <w:gridCol w:w="259"/>
        <w:gridCol w:w="746"/>
        <w:gridCol w:w="146"/>
        <w:gridCol w:w="210"/>
        <w:gridCol w:w="960"/>
      </w:tblGrid>
      <w:tr>
        <w:trPr/>
        <w:tc>
          <w:tcPr>
            <w:tcW w:w="3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 under the ESPP</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175</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0" w:name="section20"/>
      <w:bookmarkEnd w:id="20"/>
      <w:r>
        <w:rPr>
          <w:rFonts w:ascii="Times New Roman" w:hAnsi="Times New Roman"/>
          <w:b/>
          <w:color w:val="000000"/>
          <w:sz w:val="20"/>
        </w:rPr>
        <w:t>NOTE 11: SEGMENT INFORMATION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Historically, the Company managed its business through two reportable segments: Broadband and Video. Following the sale of the Video business, the Company’s continuing operations now consist of a single reportable segment: Broadband. The Chief Executive Officer, who is the Company’s Chief Operating Decision Maker (“CODM”), now evaluates the performance of the Company and makes decisions regarding the allocation of resources based on the Company’s consolidated results. Our CODM does not evaluate operating results using asset or liability information.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is a reconciliation of the Company's measure of segment profit or loss, significant segment expenses and other segment items:</w:t>
      </w:r>
    </w:p>
    <w:tbl>
      <w:tblPr>
        <w:tblW w:w="9958" w:type="dxa"/>
        <w:jc w:val="left"/>
        <w:tblInd w:w="0" w:type="dxa"/>
        <w:tblLayout w:type="fixed"/>
        <w:tblCellMar>
          <w:top w:w="28" w:type="dxa"/>
          <w:left w:w="28" w:type="dxa"/>
          <w:bottom w:w="28" w:type="dxa"/>
          <w:right w:w="28" w:type="dxa"/>
        </w:tblCellMar>
      </w:tblPr>
      <w:tblGrid>
        <w:gridCol w:w="5131"/>
        <w:gridCol w:w="213"/>
        <w:gridCol w:w="792"/>
        <w:gridCol w:w="146"/>
        <w:gridCol w:w="263"/>
        <w:gridCol w:w="862"/>
        <w:gridCol w:w="146"/>
        <w:gridCol w:w="211"/>
        <w:gridCol w:w="796"/>
        <w:gridCol w:w="146"/>
        <w:gridCol w:w="211"/>
        <w:gridCol w:w="1041"/>
      </w:tblGrid>
      <w:tr>
        <w:trPr/>
        <w:tc>
          <w:tcPr>
            <w:tcW w:w="51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 significant expenses and other segment items: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84,912</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35,637</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32,228</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19,019</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(10,672)</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income (loss) from operations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6,282</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Non-operating expense, net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r>
    </w:tbl>
    <w:p>
      <w:pPr>
        <w:pStyle w:val="TextBody"/>
        <w:bidi w:val="0"/>
        <w:spacing w:before="160" w:after="160"/>
        <w:jc w:val="left"/>
        <w:rPr>
          <w:rFonts w:ascii="Times New Roman" w:hAnsi="Times New Roman"/>
          <w:color w:val="000000"/>
          <w:sz w:val="20"/>
        </w:rPr>
      </w:pPr>
      <w:r>
        <w:rPr>
          <w:rFonts w:ascii="Times New Roman" w:hAnsi="Times New Roman"/>
          <w:color w:val="000000"/>
          <w:sz w:val="20"/>
        </w:rPr>
        <w:t>Together with stock-based compensation, the Company does not allocate restructuring and related charges, asset impairment charges and other non-recurring expenses (none in either period presented) to the operating income of its reportable segment because management does not include this information in the measurement of the performance of the operating segment.</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The following table provides a summary of total revenues disaggregated by type:</w:t>
      </w:r>
    </w:p>
    <w:tbl>
      <w:tblPr>
        <w:tblW w:w="8815" w:type="dxa"/>
        <w:jc w:val="left"/>
        <w:tblInd w:w="0" w:type="dxa"/>
        <w:tblLayout w:type="fixed"/>
        <w:tblCellMar>
          <w:top w:w="28" w:type="dxa"/>
          <w:left w:w="28" w:type="dxa"/>
          <w:bottom w:w="28" w:type="dxa"/>
          <w:right w:w="28" w:type="dxa"/>
        </w:tblCellMar>
      </w:tblPr>
      <w:tblGrid>
        <w:gridCol w:w="2931"/>
        <w:gridCol w:w="346"/>
        <w:gridCol w:w="781"/>
        <w:gridCol w:w="346"/>
        <w:gridCol w:w="381"/>
        <w:gridCol w:w="744"/>
        <w:gridCol w:w="346"/>
        <w:gridCol w:w="346"/>
        <w:gridCol w:w="781"/>
        <w:gridCol w:w="346"/>
        <w:gridCol w:w="346"/>
        <w:gridCol w:w="1121"/>
      </w:tblGrid>
      <w:tr>
        <w:trPr/>
        <w:tc>
          <w:tcPr>
            <w:tcW w:w="2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141,478</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2,648</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Appliance and integration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144,126</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SaaS and service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27,670</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provides a summary of total revenues by geographic region: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tbl>
      <w:tblPr>
        <w:tblW w:w="6719" w:type="dxa"/>
        <w:jc w:val="left"/>
        <w:tblInd w:w="0" w:type="dxa"/>
        <w:tblLayout w:type="fixed"/>
        <w:tblCellMar>
          <w:top w:w="28" w:type="dxa"/>
          <w:left w:w="28" w:type="dxa"/>
          <w:bottom w:w="28" w:type="dxa"/>
          <w:right w:w="28" w:type="dxa"/>
        </w:tblCellMar>
      </w:tblPr>
      <w:tblGrid>
        <w:gridCol w:w="1776"/>
        <w:gridCol w:w="213"/>
        <w:gridCol w:w="792"/>
        <w:gridCol w:w="146"/>
        <w:gridCol w:w="267"/>
        <w:gridCol w:w="858"/>
        <w:gridCol w:w="146"/>
        <w:gridCol w:w="213"/>
        <w:gridCol w:w="792"/>
        <w:gridCol w:w="146"/>
        <w:gridCol w:w="233"/>
        <w:gridCol w:w="1137"/>
      </w:tblGrid>
      <w:tr>
        <w:trPr/>
        <w:tc>
          <w:tcPr>
            <w:tcW w:w="17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June 27, 2025</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132,206</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countries </w:t>
            </w:r>
            <w:r>
              <w:rPr>
                <w:rFonts w:ascii="Times New Roman" w:hAnsi="Times New Roman"/>
                <w:color w:val="000000"/>
                <w:sz w:val="13"/>
              </w:rPr>
              <w:t>(1)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39,590</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155,306</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EMEA</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14,396</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APAC</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bl>
    <w:p>
      <w:pPr>
        <w:pStyle w:val="TextBody"/>
        <w:bidi w:val="0"/>
        <w:jc w:val="left"/>
        <w:rPr>
          <w:rFonts w:ascii="Times New Roman" w:hAnsi="Times New Roman"/>
          <w:color w:val="000000"/>
          <w:sz w:val="16"/>
        </w:rPr>
      </w:pPr>
      <w:r>
        <w:rPr>
          <w:rFonts w:ascii="Times New Roman" w:hAnsi="Times New Roman"/>
          <w:color w:val="000000"/>
          <w:sz w:val="16"/>
        </w:rPr>
        <w:t>(1) Revenue is attributed to countries based on the location of the customer.</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Customer Concentration</w:t>
      </w:r>
    </w:p>
    <w:tbl>
      <w:tblPr>
        <w:tblW w:w="6809" w:type="dxa"/>
        <w:jc w:val="left"/>
        <w:tblInd w:w="0" w:type="dxa"/>
        <w:tblLayout w:type="fixed"/>
        <w:tblCellMar>
          <w:top w:w="28" w:type="dxa"/>
          <w:left w:w="28" w:type="dxa"/>
          <w:bottom w:w="28" w:type="dxa"/>
          <w:right w:w="28" w:type="dxa"/>
        </w:tblCellMar>
      </w:tblPr>
      <w:tblGrid>
        <w:gridCol w:w="1866"/>
        <w:gridCol w:w="213"/>
        <w:gridCol w:w="792"/>
        <w:gridCol w:w="146"/>
        <w:gridCol w:w="267"/>
        <w:gridCol w:w="858"/>
        <w:gridCol w:w="146"/>
        <w:gridCol w:w="213"/>
        <w:gridCol w:w="792"/>
        <w:gridCol w:w="146"/>
        <w:gridCol w:w="233"/>
        <w:gridCol w:w="1137"/>
      </w:tblGrid>
      <w:tr>
        <w:trPr/>
        <w:tc>
          <w:tcPr>
            <w:tcW w:w="18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June 27, 2025</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Top 2 customers </w:t>
            </w:r>
            <w:r>
              <w:rPr>
                <w:rFonts w:ascii="Times New Roman" w:hAnsi="Times New Roman"/>
                <w:color w:val="000000"/>
                <w:sz w:val="13"/>
              </w:rPr>
              <w:t>(2)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109,114</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Rest-of-Market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62,682</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r>
    </w:tbl>
    <w:p>
      <w:pPr>
        <w:pStyle w:val="TextBody"/>
        <w:bidi w:val="0"/>
        <w:jc w:val="left"/>
        <w:rPr>
          <w:rFonts w:ascii="Times New Roman" w:hAnsi="Times New Roman"/>
          <w:color w:val="000000"/>
          <w:sz w:val="16"/>
        </w:rPr>
      </w:pPr>
      <w:r>
        <w:rPr>
          <w:rFonts w:ascii="Times New Roman" w:hAnsi="Times New Roman"/>
          <w:color w:val="000000"/>
          <w:sz w:val="16"/>
        </w:rPr>
        <w:t>(2) Based on largest subscriber footprint.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July 3, 2026, two of our customers accounted for approximately 45% and 18%, respectively, of our net revenue, compared to one customer accounted for approximately 54% of our net revenue during the three months ended June 27,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July 3, 2026, two of our customers accounted for approximately 41% and 20%, respectively, of our net revenue, compared to two customers accounted for approximately 51% and 13%, respectively, of our net revenue during the six months ended June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single country, other than the United States, accounted for 10% or more of the Company’s net revenues for the three and six months ended July 3, 2026 and June 27, 2025, respectively.</w:t>
      </w:r>
    </w:p>
    <w:p>
      <w:pPr>
        <w:pStyle w:val="TextBody"/>
        <w:bidi w:val="0"/>
        <w:spacing w:before="360" w:after="283"/>
        <w:jc w:val="left"/>
        <w:rPr/>
      </w:pPr>
      <w:bookmarkStart w:id="21" w:name="section21"/>
      <w:bookmarkEnd w:id="21"/>
      <w:r>
        <w:rPr/>
        <w:t> </w:t>
      </w:r>
    </w:p>
    <w:p>
      <w:pPr>
        <w:pStyle w:val="TextBody"/>
        <w:bidi w:val="0"/>
        <w:spacing w:before="360" w:after="283"/>
        <w:jc w:val="left"/>
        <w:rPr>
          <w:rFonts w:ascii="Times New Roman" w:hAnsi="Times New Roman"/>
          <w:b/>
          <w:color w:val="000000"/>
          <w:sz w:val="20"/>
        </w:rPr>
      </w:pPr>
      <w:bookmarkStart w:id="22" w:name="section22"/>
      <w:bookmarkEnd w:id="22"/>
      <w:r>
        <w:rPr>
          <w:rFonts w:ascii="Times New Roman" w:hAnsi="Times New Roman"/>
          <w:b/>
          <w:color w:val="000000"/>
          <w:sz w:val="20"/>
        </w:rPr>
        <w:t>NOTE 12: COMMITMENTS AND CONTINGENCIES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Bank Guarantees and Standby Letters of Credit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July 3, 2026 and December 31, 2025, the Company has outstanding bank guarantees and standby letters of credit in aggregate of $0.3 million and $3.0 million, respectively, consisting of building leases and performance bonds issued to customers.</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Purchase Commitments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July 3, 2026, the Company had approximately $85.1 million of commitments to purchase goods and services.</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The Company is obligated to indemnify its officers and its directors pursuant to its bylaws and contractual indemnity agreements. The Company also indemnifies some of its suppliers and most of its customers for specified intellectual property matters pursuant to certain contractual arrangements, subject to certain limitations. The scope of these indemnities varies, but, in some instances, includes indemnification for damages and expenses (including reasonable attorneys’ fees). In addition, the Company and the Buyer of the Video business have agreed to indemnify each other for certain losses arising under the APA. There have been no amounts accrued in respect of the indemnification provisions through July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The Company assesses potential liabilities in connection with each lawsuit and threatened lawsuits and accrues an estimated loss for these loss contingencies if both of the following conditions are met: (i) information available prior to issuance of the financial statements indicates that it is probable that a liability has been incurred at the date of the financial statements and (ii) the amount of loss can be reasonably estimated. While certain matters to which the Company is a party specify the damages claimed, such claims may not represent reasonably possible losses. Given the inherent uncertainties of litigation, the ultimate outcome of these matters cannot be predicted at this time, nor can the amount of possible loss or range of loss, if any, be reasonably estimated.</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NOTE 13: SUBSEQUENT EVENT</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Subsequent to July 3, 2026, on July 7, 2026, the Company used cash on hand to repay the $75.0 million outstanding borrowings under the Revolving Facility. As of July 8, 2026, $35.8 million in borrowings under the Term Facility remained outstanding, and the Company had $159.7 million available to borrow under the Revolving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3" w:name="section24"/>
      <w:bookmarkEnd w:id="23"/>
      <w:r>
        <w:rPr>
          <w:rFonts w:ascii="Times New Roman" w:hAnsi="Times New Roman"/>
          <w:b/>
          <w:color w:val="000000"/>
          <w:sz w:val="20"/>
        </w:rPr>
        <w:t>SPECIAL NOTE REGARDING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terms “Harmonic,” “Company,” “we,” “us,” and “our,” as used in this Quarterly Report on Form 10-Q (this “Form 10-Q”), refer to Harmonic Inc. and its subsidiaries and its predecessors as a combined entity, except where the context requires otherwise.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Some of the statements contained in this Quarterly Report on Form 10-Q are forward-looking statements that involve risk and uncertainties. The statements contained in this Quarterly Report on Form 10-Q that are not purely historical are forward-looking statements within the meaning of Section 27A of the Securities Acts of 1933, as amended (the “Securities Acts”), and Section-21E of the Securities Exchange Act of 1934, as amended (the “Exchange Act”), including, without limitation, statements regarding our expectations, beliefs, intentions or strategies regarding the future. In some cases, you can identify forward-looking statements by terminology such as, “may,” “will,” “should,” “expects,” “plans,” “anticipates,” “could,” “believes,” “intends,” “estimates,” “predicts,” “potential,” or “continue” or the negative of these terms or other comparable terminology. These forward-looking statements include, but are not limited to, statements regarding: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developing trends and demands in the markets we address, particularly emerging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macroeconomic conditions, including inflation, changes in interest rates, volatility and uncertainty in the banking and financial services sector, supply chain disruptions and pricing volatility, tariffs, government shutdowns, and volatile capital markets and foreign currency fluctuations, particularly in certain geographies;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geopolitical events, including the Middle East and Russia-Ukraine conflicts and risks of escalation and broader regional conflicts, and tensions between China and Taiwan and China and the United States, on our business and the markets in which we operate;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new and future products and services;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spending of our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strategic direction, future business plans and growth strategy;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industry and customer consolidation;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expected demand for and benefits of our products and services;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concentration of revenue sources;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our Broadband solutions;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future acquisitions and dispositions;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anticipated results of potential or actual litigation;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competitive environment;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our restructuring plans;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governmental regulations, including with respect to tariffs and economic sanctions;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U.S. and foreign withholding taxes on our ability to repatriate funds held outside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anticipated revenue and expenses, including the sources of such revenue and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expected impacts of changes in accounting rules;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the usability of our inventory and the risk that inventory will exceed forecasted demand;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and estimates related to goodwill and its associated carrying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use of cash, cash needs and ability to raise capital, including repurchasing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expectations regarding the intended benefits of the disposition of our Video business;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risks and uncertainties discussed in "Part II- Item 1A. Risk Factors" and elsewhere in this Quarterly Report on Form 10-Q and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statements are subject to known and unknown risks, uncertainties and other factors, any of which may cause our actual results to differ materially from those implied by the forward-looking statements. Important factors that may cause actual results to differ from expectations include those discussed in “Risk Factors” in Item 1A of Part II of this Quarterly Report on Form 10-Q. All forward-looking statements included in this Quarterly Report on Form 10-Q are based on information available to us on the date hereof, and we assume no obligation to update any such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4" w:name="item_2_managements_discussion_and_analy"/>
      <w:bookmarkEnd w:id="24"/>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 forward-looking statements as a result of various factors, including, but not limited to, those discussed in the section titled “Risk Factors” and in other parts of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 leading global provider of broadband solutions that enable broadband operators to more efficiently and effectively deploy high-speed internet, for data, voice and video services for their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classify our total revenue in two categories, “Appliance and integration” and “SaaS and service.” The “Appliance and integration” revenue category includes hardware, licenses and professional services and is reflective of non-recurring revenue, while the “SaaS and service” category includes usage fees for our SaaS platform and support service revenue and reflects our recurring revenue stream.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 business in three geographic regions—the Americas, Europe, the Middle East, and Africa and Asia-Pacific. We sell broadband solutions and related services, including our cOS software-based broadband solutions, to broadband operators globally.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Historically, our revenue has been dependent upon spending in the cable and telco industries. Our customers’ spending patterns are dependent on a variety of factors, including but not limited to: economic conditions in the United States and international markets, and impact of factors such as the Middle East and Russia-Ukraine conflicts, inflation, changes in interest rates, potential supply chain disruptions, volatility in capital markets and foreign currency fluctuations; volatility and uncertainty in the banking and financial services sector; access to financing; annual budget cycles of each of the industries we serve; impact of industry consolidations; customer end-market conditions; customers suspending or reducing spending in anticipation of new products or new standards; impact of heightened, new, or proposed tariffs; and new industry trends and/or technology shifts. If our product portfolio and product development plans do not position us well to capture an increased portion of the spending in the markets in which we compete, our revenue may decline. As we attempt to further diversify our customer base in these markets, we may need to continue to build alliances with other equipment manufacturers and suppliers, and we may need to take orders at prices resulting in lower margins.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strategy is focused on continuing to develop and deliver software-based broadband technologies, which we refer to as our cOS solutions, to our broadband operator customers. We believe our cOS software-based broadband solutions are superior to hardware-based systems and deliver unprecedented scalability, agility and cost savings for our customers. Our cOS solutions, which can be deployed based on a centralized, distributed access architecture (“DAA”) or hybrid architecture, enable our customers to migrate to multi-gigabit broadband capacity and the fast deployment of DOCSIS and/or fiber-to-the-home (“FTTH”) data, video and voice services. We believe our cOS solutions resolve space and power constraints in broadband operator facilities, eliminate dependence on hardware upgrade cycles and significantly reduce total cost of ownership, and are helping us to be a major player in the broadband market. We expect continued strong long-term growth in our business, driven by increasing adoption of our virtualized DOCSIS, CMTS, and FTTH solutions and distributed access architectures among both our existing customers and a growing base of new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reported, on December 8, 2025, we entered into a Put Option Agreement to sell our Video business to Leone Media Inc. (d/b/a MediaKind) (the “Buyer”) for a purchase price of $145 million in cash. On March 20, 2026, we executed the APA to complete the transaction. On June 16, 2026, we completed the sale of our Video business to the Buyer pursuant to the APA. Proceeds from the sale were $137.9 million paid at closing, subject to final adjustment under the terms of the APA. The results of the Video business are presented as discontinued operations in the accompanying unaudited condensed consolidated statements of operations for all periods presented. The assets and liabilities of the Video business have been reflected as assets and liabilities of discontinued operations in the accompanying unaudited condensed consolidated balance sheet for all prior periods presented.</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Unless otherwise noted, all amounts, percentages and discussions below reflect only the results of operations and financial condition of our continuing operations. Refer to "Discontinued Operations" below and Note 3 to the unaudited condensed consolidated financial statements included elsewhere in this Quarterly Report on Form 10-Q for more information on discontinued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5" w:name="section26"/>
      <w:bookmarkEnd w:id="25"/>
      <w:r>
        <w:rPr>
          <w:rFonts w:ascii="Times New Roman" w:hAnsi="Times New Roman"/>
          <w:b/>
          <w:color w:val="000000"/>
          <w:sz w:val="20"/>
        </w:rPr>
        <w:t>CRITICAL ACCOUNTING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unaudited condensed consolidated financial statements and the related notes included elsewhere in this report are prepared in accordance with U.S. GAAP. The preparation of these unaudited condensed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critical accounting estimates are disclosed in our 2025 Annual Report on Form 10-K, as filed with the SEC on February 24, 2026. There have been no significant changes to these estimates during the six months ended July 3, 2026.</w:t>
      </w:r>
    </w:p>
    <w:p>
      <w:pPr>
        <w:pStyle w:val="TextBody"/>
        <w:bidi w:val="0"/>
        <w:spacing w:before="360" w:after="283"/>
        <w:jc w:val="left"/>
        <w:rPr>
          <w:rFonts w:ascii="Times New Roman" w:hAnsi="Times New Roman"/>
          <w:b/>
          <w:color w:val="000000"/>
          <w:sz w:val="20"/>
        </w:rPr>
      </w:pPr>
      <w:bookmarkStart w:id="26" w:name="section27"/>
      <w:bookmarkEnd w:id="26"/>
      <w:r>
        <w:rPr>
          <w:rFonts w:ascii="Times New Roman" w:hAnsi="Times New Roman"/>
          <w:b/>
          <w:color w:val="000000"/>
          <w:sz w:val="20"/>
        </w:rPr>
        <w:t>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summary of recent accounting pronouncements applicable to our condensed consolidated financial statements, refer to Note 2 to the condensed consolidated financial statements in Item 1, which is incorporated herein by reference.</w:t>
      </w:r>
    </w:p>
    <w:p>
      <w:pPr>
        <w:pStyle w:val="TextBody"/>
        <w:bidi w:val="0"/>
        <w:spacing w:before="360" w:after="283"/>
        <w:jc w:val="left"/>
        <w:rPr>
          <w:rFonts w:ascii="Times New Roman" w:hAnsi="Times New Roman"/>
          <w:b/>
          <w:color w:val="000000"/>
          <w:sz w:val="20"/>
        </w:rPr>
      </w:pPr>
      <w:bookmarkStart w:id="27" w:name="section28"/>
      <w:bookmarkEnd w:id="27"/>
      <w:r>
        <w:rPr>
          <w:rFonts w:ascii="Times New Roman" w:hAnsi="Times New Roman"/>
          <w:b/>
          <w:color w:val="000000"/>
          <w:sz w:val="20"/>
        </w:rPr>
        <w:t>RESULTS OF OPERATIONS</w:t>
      </w:r>
    </w:p>
    <w:p>
      <w:pPr>
        <w:pStyle w:val="TextBody"/>
        <w:bidi w:val="0"/>
        <w:spacing w:before="360" w:after="120"/>
        <w:jc w:val="left"/>
        <w:rPr>
          <w:rFonts w:ascii="Times New Roman" w:hAnsi="Times New Roman"/>
          <w:b/>
          <w:i/>
          <w:color w:val="000000"/>
          <w:sz w:val="20"/>
        </w:rPr>
      </w:pPr>
      <w:bookmarkStart w:id="28" w:name="section29"/>
      <w:bookmarkEnd w:id="28"/>
      <w:r>
        <w:rPr>
          <w:rFonts w:ascii="Times New Roman" w:hAnsi="Times New Roman"/>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2159"/>
        <w:gridCol w:w="271"/>
        <w:gridCol w:w="781"/>
        <w:gridCol w:w="146"/>
        <w:gridCol w:w="309"/>
        <w:gridCol w:w="772"/>
        <w:gridCol w:w="146"/>
        <w:gridCol w:w="271"/>
        <w:gridCol w:w="676"/>
        <w:gridCol w:w="441"/>
        <w:gridCol w:w="146"/>
        <w:gridCol w:w="271"/>
        <w:gridCol w:w="781"/>
        <w:gridCol w:w="146"/>
        <w:gridCol w:w="285"/>
        <w:gridCol w:w="821"/>
        <w:gridCol w:w="146"/>
        <w:gridCol w:w="271"/>
        <w:gridCol w:w="676"/>
        <w:gridCol w:w="690"/>
      </w:tblGrid>
      <w:tr>
        <w:trPr/>
        <w:tc>
          <w:tcPr>
            <w:tcW w:w="215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Appliance and integration</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44,415</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76,649</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SaaS and service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1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46,544</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83,361</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Appliance and integration net revenue increased by $44.4 million for the three months ended July 3, 2026, compared to the corresponding period in 2025, primarily driven by a $40.3 million increase from customers ramping up due to new deployments in the Americas.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Appliance and integration net revenue increased by $76.6 million for the six months ended July 3, 2026, compared to the corresponding period in 2025, primarily driven by a $71.7 million increase from customers ramping up due to new deployments in the Americas, including a $10.3 million increase in outside plant services.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SaaS and service net revenue increased by $2.1 million and $6.7 million for the three- and six-month periods ended July 3, 2026, respectively, compared to the same periods in 2025, primarily due to increased support services in the current periods.</w:t>
      </w:r>
    </w:p>
    <w:p>
      <w:pPr>
        <w:pStyle w:val="TextBody"/>
        <w:bidi w:val="0"/>
        <w:spacing w:before="360" w:after="120"/>
        <w:jc w:val="left"/>
        <w:rPr>
          <w:rFonts w:ascii="Times New Roman" w:hAnsi="Times New Roman"/>
          <w:b/>
          <w:i/>
          <w:color w:val="000000"/>
          <w:sz w:val="20"/>
        </w:rPr>
      </w:pPr>
      <w:bookmarkStart w:id="29" w:name="section30"/>
      <w:bookmarkEnd w:id="29"/>
      <w:r>
        <w:rPr>
          <w:rFonts w:ascii="Times New Roman" w:hAnsi="Times New Roman"/>
          <w:b/>
          <w:i/>
          <w:color w:val="000000"/>
          <w:sz w:val="20"/>
        </w:rPr>
        <w:t>Gross Profit</w:t>
      </w:r>
    </w:p>
    <w:tbl>
      <w:tblPr>
        <w:tblW w:w="10205" w:type="dxa"/>
        <w:jc w:val="left"/>
        <w:tblInd w:w="0" w:type="dxa"/>
        <w:tblLayout w:type="fixed"/>
        <w:tblCellMar>
          <w:top w:w="28" w:type="dxa"/>
          <w:left w:w="28" w:type="dxa"/>
          <w:bottom w:w="28" w:type="dxa"/>
          <w:right w:w="28" w:type="dxa"/>
        </w:tblCellMar>
      </w:tblPr>
      <w:tblGrid>
        <w:gridCol w:w="2425"/>
        <w:gridCol w:w="279"/>
        <w:gridCol w:w="697"/>
        <w:gridCol w:w="146"/>
        <w:gridCol w:w="297"/>
        <w:gridCol w:w="741"/>
        <w:gridCol w:w="146"/>
        <w:gridCol w:w="271"/>
        <w:gridCol w:w="676"/>
        <w:gridCol w:w="401"/>
        <w:gridCol w:w="146"/>
        <w:gridCol w:w="271"/>
        <w:gridCol w:w="781"/>
        <w:gridCol w:w="146"/>
        <w:gridCol w:w="297"/>
        <w:gridCol w:w="741"/>
        <w:gridCol w:w="146"/>
        <w:gridCol w:w="271"/>
        <w:gridCol w:w="676"/>
        <w:gridCol w:w="651"/>
      </w:tblGrid>
      <w:tr>
        <w:trPr/>
        <w:tc>
          <w:tcPr>
            <w:tcW w:w="242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30,102</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47,237</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55%</w:t>
            </w:r>
          </w:p>
        </w:tc>
      </w:tr>
      <w:tr>
        <w:trPr/>
        <w:tc>
          <w:tcPr>
            <w:tcW w:w="2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 (“gross margin”)</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gross margins are dependent upon, among other factors, the proportion of software sales, product mix, supply chain impacts, customer mix, product introduction costs, price reductions granted to customers and achievement of cost reductions.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gross margin improved by 660 basis points and 210 basis points in the three- and six-months periods ended July 3, 2026, respectively, compared to the corresponding periods in 2025, primarily due to a favorable product mix associated with a higher percentage of new deployments in North America.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120"/>
        <w:jc w:val="left"/>
        <w:rPr>
          <w:rFonts w:ascii="Times New Roman" w:hAnsi="Times New Roman"/>
          <w:b/>
          <w:i/>
          <w:color w:val="000000"/>
          <w:sz w:val="20"/>
        </w:rPr>
      </w:pPr>
      <w:bookmarkStart w:id="30" w:name="section31"/>
      <w:bookmarkEnd w:id="30"/>
      <w:r>
        <w:rPr>
          <w:rFonts w:ascii="Times New Roman" w:hAnsi="Times New Roman"/>
          <w:b/>
          <w:i/>
          <w:color w:val="000000"/>
          <w:sz w:val="20"/>
        </w:rPr>
        <w:t>Research and Development Expenses</w:t>
      </w:r>
    </w:p>
    <w:tbl>
      <w:tblPr>
        <w:tblW w:w="10205" w:type="dxa"/>
        <w:jc w:val="left"/>
        <w:tblInd w:w="0" w:type="dxa"/>
        <w:tblLayout w:type="fixed"/>
        <w:tblCellMar>
          <w:top w:w="28" w:type="dxa"/>
          <w:left w:w="28" w:type="dxa"/>
          <w:bottom w:w="28" w:type="dxa"/>
          <w:right w:w="28" w:type="dxa"/>
        </w:tblCellMar>
      </w:tblPr>
      <w:tblGrid>
        <w:gridCol w:w="2397"/>
        <w:gridCol w:w="285"/>
        <w:gridCol w:w="714"/>
        <w:gridCol w:w="146"/>
        <w:gridCol w:w="317"/>
        <w:gridCol w:w="791"/>
        <w:gridCol w:w="146"/>
        <w:gridCol w:w="271"/>
        <w:gridCol w:w="571"/>
        <w:gridCol w:w="465"/>
        <w:gridCol w:w="146"/>
        <w:gridCol w:w="285"/>
        <w:gridCol w:w="714"/>
        <w:gridCol w:w="146"/>
        <w:gridCol w:w="317"/>
        <w:gridCol w:w="791"/>
        <w:gridCol w:w="146"/>
        <w:gridCol w:w="271"/>
        <w:gridCol w:w="571"/>
        <w:gridCol w:w="715"/>
      </w:tblGrid>
      <w:tr>
        <w:trPr/>
        <w:tc>
          <w:tcPr>
            <w:tcW w:w="23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4,424</w:t>
            </w:r>
          </w:p>
        </w:tc>
        <w:tc>
          <w:tcPr>
            <w:tcW w:w="7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research and development expenses consist primarily of employee salaries and related expenses, contractors and outside consultants, supplies and materials, equipment depreciation and facilities costs, all of which are associated with the design and development of new products and enhancements of existing products. The research and development expenses are net of French research and development tax credits.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Research and development expenses increased by $3.2 million, and $4.4 million, for the three- and six-month periods ended July 3, 2026, respectively, compared to the corresponding period in 2025, mainly due to higher incentive compensation and increased investment to support business growth.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discussed previously, the results of the Video business have been classified as discontinued operations for all periods presented. Certain indirect corporate costs, such as IT and facility costs, previously allocated to the Video reporting segment, do not qualify for discontinued operations accounting classification and are now reported within continuing operations. These stranded costs, which are included in research and development expenses, were $0.2 million and $0.3 million for the three months ended July 3, 2026, and the corresponding period in 2025, respectively. The stranded costs were $0.6 million and $1.1 million for the six months ended July 3, 2026 and the corresponding period in 2025, respectively.</w:t>
      </w:r>
    </w:p>
    <w:p>
      <w:pPr>
        <w:pStyle w:val="TextBody"/>
        <w:bidi w:val="0"/>
        <w:spacing w:before="360" w:after="120"/>
        <w:jc w:val="left"/>
        <w:rPr>
          <w:rFonts w:ascii="Times New Roman" w:hAnsi="Times New Roman"/>
          <w:b/>
          <w:i/>
          <w:color w:val="000000"/>
          <w:sz w:val="20"/>
        </w:rPr>
      </w:pPr>
      <w:bookmarkStart w:id="31" w:name="section32"/>
      <w:bookmarkEnd w:id="31"/>
      <w:r>
        <w:rPr>
          <w:rFonts w:ascii="Times New Roman" w:hAnsi="Times New Roman"/>
          <w:b/>
          <w:i/>
          <w:color w:val="000000"/>
          <w:sz w:val="20"/>
        </w:rPr>
        <w:t>Selling, General and Administrative Expenses</w:t>
      </w:r>
    </w:p>
    <w:tbl>
      <w:tblPr>
        <w:tblW w:w="10205" w:type="dxa"/>
        <w:jc w:val="left"/>
        <w:tblInd w:w="0" w:type="dxa"/>
        <w:tblLayout w:type="fixed"/>
        <w:tblCellMar>
          <w:top w:w="28" w:type="dxa"/>
          <w:left w:w="28" w:type="dxa"/>
          <w:bottom w:w="28" w:type="dxa"/>
          <w:right w:w="28" w:type="dxa"/>
        </w:tblCellMar>
      </w:tblPr>
      <w:tblGrid>
        <w:gridCol w:w="2529"/>
        <w:gridCol w:w="282"/>
        <w:gridCol w:w="707"/>
        <w:gridCol w:w="146"/>
        <w:gridCol w:w="308"/>
        <w:gridCol w:w="770"/>
        <w:gridCol w:w="146"/>
        <w:gridCol w:w="271"/>
        <w:gridCol w:w="571"/>
        <w:gridCol w:w="438"/>
        <w:gridCol w:w="146"/>
        <w:gridCol w:w="282"/>
        <w:gridCol w:w="707"/>
        <w:gridCol w:w="146"/>
        <w:gridCol w:w="308"/>
        <w:gridCol w:w="770"/>
        <w:gridCol w:w="146"/>
        <w:gridCol w:w="271"/>
        <w:gridCol w:w="571"/>
        <w:gridCol w:w="690"/>
      </w:tblGrid>
      <w:tr>
        <w:trPr/>
        <w:tc>
          <w:tcPr>
            <w:tcW w:w="25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w:t>
            </w:r>
          </w:p>
        </w:tc>
      </w:tr>
      <w:tr>
        <w:trPr/>
        <w:tc>
          <w:tcPr>
            <w:tcW w:w="2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as % of total net revenue</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Selling, general and administrative expenses increased by $4.1 million, and $6.7 million, for the three- and six-month periods ended July 3, 2026, respectively, compared to the corresponding periods in 2025, primarily due to higher incentive compensation and increased investment to support business growth.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discussed above, the stranded costs resulting from the disposition of the Video business included in selling, general and administrative expense were $1.9 million and $3.5 million for the three- and six-month periods ended July 3, 2026, respectively. The stranded costs were $1.1 million and $1.9 million for the corresponding periods in 2025.</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Asset Impairment and Related Charges</w:t>
      </w:r>
    </w:p>
    <w:tbl>
      <w:tblPr>
        <w:tblW w:w="10205" w:type="dxa"/>
        <w:jc w:val="left"/>
        <w:tblInd w:w="0" w:type="dxa"/>
        <w:tblLayout w:type="fixed"/>
        <w:tblCellMar>
          <w:top w:w="28" w:type="dxa"/>
          <w:left w:w="28" w:type="dxa"/>
          <w:bottom w:w="28" w:type="dxa"/>
          <w:right w:w="28" w:type="dxa"/>
        </w:tblCellMar>
      </w:tblPr>
      <w:tblGrid>
        <w:gridCol w:w="2544"/>
        <w:gridCol w:w="358"/>
        <w:gridCol w:w="557"/>
        <w:gridCol w:w="146"/>
        <w:gridCol w:w="336"/>
        <w:gridCol w:w="708"/>
        <w:gridCol w:w="146"/>
        <w:gridCol w:w="271"/>
        <w:gridCol w:w="673"/>
        <w:gridCol w:w="537"/>
        <w:gridCol w:w="146"/>
        <w:gridCol w:w="358"/>
        <w:gridCol w:w="557"/>
        <w:gridCol w:w="146"/>
        <w:gridCol w:w="336"/>
        <w:gridCol w:w="708"/>
        <w:gridCol w:w="146"/>
        <w:gridCol w:w="271"/>
        <w:gridCol w:w="673"/>
        <w:gridCol w:w="588"/>
      </w:tblGrid>
      <w:tr>
        <w:trPr/>
        <w:tc>
          <w:tcPr>
            <w:tcW w:w="25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 and related charges</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During the second quarter of fiscal year 2026, the Company recorded additional lease-related impairment and other charges of $0.4 million. The charges consisted of $0.1 million in right-of-use asset impairments and $0.3 million related to the fair value of other unrecoverable facility costs. These adjustments were driven by changes in underlying assumptions, including updated estimates of space utilization, sublease recoverability, and expected cost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fiscal year 2025, the Company recorded additional lease-related impairment and other charges of $1.6 million, which consisted of $0.4 million in right-of-use asset impairments, $0.3 million in leasehold improvement asset impairments, and $0.9 million related to the fair value of other unrecoverable facility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120"/>
        <w:jc w:val="left"/>
        <w:rPr>
          <w:rFonts w:ascii="Times New Roman" w:hAnsi="Times New Roman"/>
          <w:b/>
          <w:i/>
          <w:color w:val="000000"/>
          <w:sz w:val="20"/>
        </w:rPr>
      </w:pPr>
      <w:bookmarkStart w:id="32" w:name="section34"/>
      <w:bookmarkEnd w:id="32"/>
      <w:r>
        <w:rPr>
          <w:rFonts w:ascii="Times New Roman" w:hAnsi="Times New Roman"/>
          <w:b/>
          <w:i/>
          <w:color w:val="000000"/>
          <w:sz w:val="20"/>
        </w:rPr>
        <w:t>Interest Expense, Net</w:t>
      </w:r>
    </w:p>
    <w:tbl>
      <w:tblPr>
        <w:tblW w:w="9827" w:type="dxa"/>
        <w:jc w:val="left"/>
        <w:tblInd w:w="0" w:type="dxa"/>
        <w:tblLayout w:type="fixed"/>
        <w:tblCellMar>
          <w:top w:w="28" w:type="dxa"/>
          <w:left w:w="28" w:type="dxa"/>
          <w:bottom w:w="28" w:type="dxa"/>
          <w:right w:w="28" w:type="dxa"/>
        </w:tblCellMar>
      </w:tblPr>
      <w:tblGrid>
        <w:gridCol w:w="2521"/>
        <w:gridCol w:w="283"/>
        <w:gridCol w:w="722"/>
        <w:gridCol w:w="146"/>
        <w:gridCol w:w="317"/>
        <w:gridCol w:w="808"/>
        <w:gridCol w:w="146"/>
        <w:gridCol w:w="271"/>
        <w:gridCol w:w="211"/>
        <w:gridCol w:w="496"/>
        <w:gridCol w:w="146"/>
        <w:gridCol w:w="283"/>
        <w:gridCol w:w="722"/>
        <w:gridCol w:w="146"/>
        <w:gridCol w:w="317"/>
        <w:gridCol w:w="808"/>
        <w:gridCol w:w="146"/>
        <w:gridCol w:w="271"/>
        <w:gridCol w:w="421"/>
        <w:gridCol w:w="646"/>
      </w:tblGrid>
      <w:tr>
        <w:trPr/>
        <w:tc>
          <w:tcPr>
            <w:tcW w:w="25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Interest expense decreased slightly in the three and six month periods ended July 3, 2026, compared to the corresponding periods in 2025, primarily due to a lower outstanding principal balance resulting from the repayment and reborrowing activities under the Revolving Facility during the current periods.</w:t>
      </w:r>
    </w:p>
    <w:p>
      <w:pPr>
        <w:pStyle w:val="TextBody"/>
        <w:bidi w:val="0"/>
        <w:spacing w:before="360" w:after="120"/>
        <w:jc w:val="left"/>
        <w:rPr>
          <w:rFonts w:ascii="Times New Roman" w:hAnsi="Times New Roman"/>
          <w:b/>
          <w:i/>
          <w:color w:val="000000"/>
          <w:sz w:val="20"/>
        </w:rPr>
      </w:pPr>
      <w:bookmarkStart w:id="33" w:name="section35"/>
      <w:bookmarkEnd w:id="33"/>
      <w:r>
        <w:rPr>
          <w:rFonts w:ascii="Times New Roman" w:hAnsi="Times New Roman"/>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2474"/>
        <w:gridCol w:w="333"/>
        <w:gridCol w:w="664"/>
        <w:gridCol w:w="146"/>
        <w:gridCol w:w="315"/>
        <w:gridCol w:w="802"/>
        <w:gridCol w:w="146"/>
        <w:gridCol w:w="271"/>
        <w:gridCol w:w="421"/>
        <w:gridCol w:w="594"/>
        <w:gridCol w:w="146"/>
        <w:gridCol w:w="333"/>
        <w:gridCol w:w="664"/>
        <w:gridCol w:w="146"/>
        <w:gridCol w:w="315"/>
        <w:gridCol w:w="802"/>
        <w:gridCol w:w="146"/>
        <w:gridCol w:w="271"/>
        <w:gridCol w:w="571"/>
        <w:gridCol w:w="645"/>
      </w:tblGrid>
      <w:tr>
        <w:trPr/>
        <w:tc>
          <w:tcPr>
            <w:tcW w:w="24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changes in other income (expense), net, in the three and six months ended July 3, 2026 compared to the corresponding periods in 2025, was primarily due to fluctuations in the foreign currency exchange rate against the U.S. dollar.</w:t>
      </w:r>
    </w:p>
    <w:p>
      <w:pPr>
        <w:pStyle w:val="TextBody"/>
        <w:bidi w:val="0"/>
        <w:spacing w:before="360" w:after="120"/>
        <w:jc w:val="left"/>
        <w:rPr>
          <w:rFonts w:ascii="Times New Roman" w:hAnsi="Times New Roman"/>
          <w:b/>
          <w:i/>
          <w:color w:val="000000"/>
          <w:sz w:val="20"/>
        </w:rPr>
      </w:pPr>
      <w:bookmarkStart w:id="34" w:name="section36"/>
      <w:bookmarkEnd w:id="34"/>
      <w:r>
        <w:rPr>
          <w:rFonts w:ascii="Times New Roman" w:hAnsi="Times New Roman"/>
          <w:b/>
          <w:i/>
          <w:color w:val="000000"/>
          <w:sz w:val="20"/>
        </w:rPr>
        <w:t>Income Taxes</w:t>
      </w:r>
    </w:p>
    <w:tbl>
      <w:tblPr>
        <w:tblW w:w="9767" w:type="dxa"/>
        <w:jc w:val="left"/>
        <w:tblInd w:w="0" w:type="dxa"/>
        <w:tblLayout w:type="fixed"/>
        <w:tblCellMar>
          <w:top w:w="28" w:type="dxa"/>
          <w:left w:w="28" w:type="dxa"/>
          <w:bottom w:w="28" w:type="dxa"/>
          <w:right w:w="28" w:type="dxa"/>
        </w:tblCellMar>
      </w:tblPr>
      <w:tblGrid>
        <w:gridCol w:w="2521"/>
        <w:gridCol w:w="323"/>
        <w:gridCol w:w="682"/>
        <w:gridCol w:w="146"/>
        <w:gridCol w:w="317"/>
        <w:gridCol w:w="808"/>
        <w:gridCol w:w="146"/>
        <w:gridCol w:w="271"/>
        <w:gridCol w:w="571"/>
        <w:gridCol w:w="211"/>
        <w:gridCol w:w="146"/>
        <w:gridCol w:w="287"/>
        <w:gridCol w:w="718"/>
        <w:gridCol w:w="146"/>
        <w:gridCol w:w="440"/>
        <w:gridCol w:w="685"/>
        <w:gridCol w:w="146"/>
        <w:gridCol w:w="271"/>
        <w:gridCol w:w="676"/>
        <w:gridCol w:w="256"/>
      </w:tblGrid>
      <w:tr>
        <w:trPr/>
        <w:tc>
          <w:tcPr>
            <w:tcW w:w="25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100" w:after="283"/>
        <w:jc w:val="left"/>
        <w:rPr>
          <w:rFonts w:ascii="Times New Roman" w:hAnsi="Times New Roman"/>
          <w:color w:val="000000"/>
          <w:sz w:val="18"/>
        </w:rPr>
      </w:pPr>
      <w:r>
        <w:rPr>
          <w:rFonts w:ascii="Times New Roman" w:hAnsi="Times New Roman"/>
          <w:color w:val="000000"/>
          <w:sz w:val="18"/>
        </w:rPr>
        <w:t>*not meaningful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provision for income taxes increased during the three months ended July 3, 2026, compared to the corresponding period in 2025, primarily due to pretax income in the current period, compared to the pretax loss in the prior period.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provision for income taxes increased during the six months ended July 3, 2026, compared to the corresponding period in 2025, primarily due to higher pretax income and $4.6 million of withholding taxes on the distribution from a foreign subsidiary in the current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b/>
          <w:color w:val="000000"/>
          <w:sz w:val="20"/>
        </w:rPr>
      </w:pPr>
      <w:bookmarkStart w:id="35" w:name="section38"/>
      <w:bookmarkEnd w:id="35"/>
      <w:r>
        <w:rPr>
          <w:rFonts w:ascii="Times New Roman" w:hAnsi="Times New Roman"/>
          <w:b/>
          <w:color w:val="000000"/>
          <w:sz w:val="20"/>
        </w:rPr>
        <w:t>Liquidity and Capital Resources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expect to continue to manage our cash from operations effectively, together with deploying cash in working capital for growth. The cash we generate from our operations enables us to fund ongoing operations, our research and development projects for new products and technologies, and other business activities. We continually evaluate our cash needs and may decide it is best to raise additional capital or seek alternative financing sources to fund our operations and the growth of our business, to take advantage of unanticipated strategic opportunities, or to strengthen our financial position, including through drawdowns on existing or new debt facilities or new debt and equity financing. In the future, we may enter into other arrangements for potential investments in, or acquisitions of, complementary businesses, services or technologies, which could require us to seek additional equity or debt financing. Additional funds may not be available on terms favorable to us or at all. Conversely, we may also from time to time determine that it is in our best interests to voluntarily repay certain indebtedness early. We believe that our current sources of funds will provide us with adequate liquidity during the 12-month period following July 3, 2026, and over the longer-term.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on June 16, 2026, we completed the previously announced sale of our Video business. Proceeds from the sale, received at closing, were $137.9 million, subject to final adjustments under the terms of the purchase agreement. We plan to use the proceeds from the sale to support strategic growth initiatives and to further fund our share repurchase program.</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principal uses of cash include repayments of debt and related interest, purchases of inventory, stock repurchases, payments for payroll, restructuring expenses, and other operating expenses related to the development and marketing of our products, purchases of property and equipment, facility leases, and other contractual obligations for the foreseeable future.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July 3, 2026, we had an outstanding principal amount equal to $110.8 million under our Credit Agreement, consisting of $75.0 million under our Revolving Facility and $35.8 million under our Term Facility, of which $3.0 million is scheduled to become due in the 12-month period following July 3, 2026. On July 7, we used cash on hand to repay in full the $75.0 million balance outstanding under our Revolving Facility. Refer to Note 13 on the Notes to the condensed consolidated financial statements in Part I, Item 1 of this Quarterly Report on Form 10-Q for additional details. As of July 3, 2026, our total minimum lease payments are $22.0 million, of which $6.5 million is due within 12 months of July 3,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2025, the Board of Directors authorized us to repurchase, from time to time, up to $200 million of our outstanding shares of common stock through February 2028 (the “Share Repurchase Authorization”), at such time and such prices as management may decide. The program does not obligate us to repurchase any specific number of shares and may be discontinued at any time. As of July 3, 2026, approximately $78.0 million of the Share Repurchase Authorization remained available for repurchases under this program.</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Sources and Conditions of Liquidity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sources to fund our material cash requirements are predominantly from the sales of our products and services and, when applicable, proceeds from debt facilities and debt and equity offerings.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July 3, 2026, our principal sources of liquidity consisted of cash and cash equivalents of $231.9 million, net accounts receivable of $89.9 million, and $84.7 million remaining available under the Revolving Facility of our Credit Agreement.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cash and cash equivalents of $231.9 million as of July 3, 2026 consisted of bank deposits held throughout the world and money market funds, of which $49.7 million was held outside of the United States. At present, such foreign funds are considered to be indefinitely reinvested in foreign countries to the extent of indefinitely reinvested foreign earnings. In the event funds from foreign operations are needed to fund cash needs in the United States and if U.S. taxes have not already been previously accrued, we may be required to accrue and pay additional U.S. and foreign withholding taxes in order to repatriate these funds. As discussed above, we plan to use the proceeds from the sale of the Video business to support strategic growth initiatives and to further fund our share repurchase program. We do not expect the disposition of the Video business to have a material impact on our ongoing liquidity and capital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sz w:val="20"/>
        </w:rPr>
      </w:pPr>
      <w:r>
        <w:rPr>
          <w:rFonts w:ascii="Times New Roman" w:hAnsi="Times New Roman"/>
          <w:i/>
          <w:color w:val="000000"/>
          <w:sz w:val="20"/>
        </w:rPr>
        <w:t>Summary of Cash Flows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table below sets forth selected cash flow data:</w:t>
      </w:r>
    </w:p>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7461"/>
        <w:gridCol w:w="146"/>
        <w:gridCol w:w="211"/>
        <w:gridCol w:w="796"/>
        <w:gridCol w:w="146"/>
        <w:gridCol w:w="211"/>
        <w:gridCol w:w="1041"/>
      </w:tblGrid>
      <w:tr>
        <w:trPr/>
        <w:tc>
          <w:tcPr>
            <w:tcW w:w="7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2025</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71,908</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(5,672)</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(48,883)</w:t>
            </w:r>
          </w:p>
        </w:tc>
      </w:tr>
      <w:tr>
        <w:trPr/>
        <w:tc>
          <w:tcPr>
            <w:tcW w:w="7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 changes on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w:t>
            </w:r>
          </w:p>
        </w:tc>
      </w:tr>
      <w:tr>
        <w:trPr/>
        <w:tc>
          <w:tcPr>
            <w:tcW w:w="7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22,485</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provided by operating activities decreased by $45.6 million during the first six months of fiscal 2026, compared to the corresponding period in fiscal 2025, primarily due to an elevated amount of collections in the prior period associated with strong revenue performance in the last quarter of fiscal 2024.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expect that cash provided by or used in operating activities may fluctuate in future periods as a result of a number of factors, including, but not limited to, instability and uncertainty in the financial services sector, the potential impact of the Middle East and Russia-Ukraine conflicts on our operations in those regions, fluctuations in our operating results, shipment linearity, accounts receivable collections performance, inventory and supply chain management, and the timing and amount of compensation and other payments.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provided by investing activities increased by $134.6 million during the first six months of fiscal 2026, compared to the corresponding period in 2025, primarily due to cash proceeds received for the sale of the Video business in the current period.</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60" w:after="300"/>
        <w:jc w:val="left"/>
        <w:rPr>
          <w:rFonts w:ascii="Times New Roman" w:hAnsi="Times New Roman"/>
          <w:color w:val="000000"/>
          <w:sz w:val="20"/>
        </w:rPr>
      </w:pPr>
      <w:r>
        <w:rPr>
          <w:rFonts w:ascii="Times New Roman" w:hAnsi="Times New Roman"/>
          <w:color w:val="000000"/>
          <w:sz w:val="20"/>
        </w:rPr>
        <w:t>Net cash used in financing activities decreased by $2.9 million during the first six months of fiscal 2026, compared to the corresponding period in fiscal 2025, primarily due to $7.2 million of lower stock repurchases in the current period, partially offset by a $3.8 million in proceeds from other loans in the prior period.</w:t>
      </w:r>
    </w:p>
    <w:p>
      <w:pPr>
        <w:pStyle w:val="TextBody"/>
        <w:bidi w:val="0"/>
        <w:jc w:val="left"/>
        <w:rPr>
          <w:rFonts w:ascii="Times New Roman" w:hAnsi="Times New Roman"/>
          <w:b/>
          <w:color w:val="000000"/>
          <w:sz w:val="20"/>
        </w:rPr>
      </w:pPr>
      <w:r>
        <w:rPr>
          <w:rFonts w:ascii="Times New Roman" w:hAnsi="Times New Roman"/>
          <w:b/>
          <w:color w:val="000000"/>
          <w:sz w:val="20"/>
        </w:rPr>
        <w:t>Discontinued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previously noted, we classified the results of our Video business as discontinued operations in the consolidated statements of operations for all periods presented. The related assets and liabilities associated with the Video business were classified as held for sale in the consolidated balance sheets for the prior period presented.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sales from discontinued operations were $39.5 million and $89.6 million for the three and six months ended July 3, 2026, respectively, compared to $51.1 million and $99.3 million for the prior year periods. The decreases in net sales during the current periods were primarily due to a shorter reporting period, as the sale of the Video business was completed on June 16, 2026, compared to a full quarter in 2025. The losses from discontinued operations, net of tax, for the three and six months ended July 3, 2026, respectively, was primarily attributable to the loss on disposal of the business, advisory fees and employee compensation costs related to the disposition of our Video business incurred in the current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bookmarkStart w:id="36" w:name="item_3_quantitative_and_qualitative_disc"/>
      <w:bookmarkEnd w:id="36"/>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Market risk represents the risk of loss that may impact our operating results, financial position or liquidity due to adverse changes in market prices and rates. We are exposed to market risk because of changes in interest rates, foreign currency exchange rates, when other currencies held by our subsidiaries are measured against the U.S. dollar, and to changes in the value of financial instruments held by us.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quantitative and qualitative disclosures about foreign currency exchange risk and interest rate risk affecting the Company, see Item 7A “Quantitative and Qualitative Disclosures about Market Risk” in our Annual Report on Form 10-K for the fiscal year ended December 31, 2025, as filed with the SEC on February 24, 2026. Our exposure related to foreign currency exchange risk and interest rate risk has not changed materially since December 31, 2025.</w:t>
      </w:r>
    </w:p>
    <w:p>
      <w:pPr>
        <w:pStyle w:val="TextBody"/>
        <w:bidi w:val="0"/>
        <w:spacing w:before="360" w:after="283"/>
        <w:jc w:val="left"/>
        <w:rPr>
          <w:rFonts w:ascii="Times New Roman" w:hAnsi="Times New Roman"/>
          <w:sz w:val="20"/>
        </w:rPr>
      </w:pPr>
      <w:bookmarkStart w:id="37" w:name="item_4_controls_and_procedures"/>
      <w:bookmarkEnd w:id="37"/>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recognized that disclosure controls and procedures, no matter how well conceived and operated, can provide only reasonable, and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Chief Executive Officer and Chief Financial Officer evaluated the changes in our internal control over financial reporting that occurred during the period covered by this Quarterly Report on Form 10-Q. Based on their evaluation, they concluded that there has been no change in our internal control over financial reporting during the quarter ended July 3, 2026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8" w:name="part_ii"/>
      <w:bookmarkEnd w:id="38"/>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sz w:val="20"/>
        </w:rPr>
      </w:pPr>
      <w:bookmarkStart w:id="39" w:name="item_1_legal_proceedings"/>
      <w:bookmarkEnd w:id="3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While certain matters to which we are a party may specify the damages claimed, such claims may not represent reasonably possible losses. Given the inherent uncertainties of litigation, the ultimate outcome of these matters cannot be predicted at this time, nor can the amount of possible loss or range of loss, if any, be reasonably estimated.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 unfavorable outcome on any litigation matters could require us to pay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could have a material adverse effect on our business,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From time to time, third parties have asserted, and may in the future assert, exclusive patent, copyright, trademark and other intellectual property rights against us or our customers. Such assertions arise in the normal course of our operations. The resolution of any such assertions and claims cannot be predicted with certainty. Refer to Note 12 of the Notes to the condensed consolidated financial statements in Part I, Item 1 of this Quarterly Report on Form 10-Q for details on legal proceedings.</w:t>
      </w:r>
    </w:p>
    <w:p>
      <w:pPr>
        <w:pStyle w:val="TextBody"/>
        <w:bidi w:val="0"/>
        <w:spacing w:before="360" w:after="283"/>
        <w:jc w:val="left"/>
        <w:rPr>
          <w:rFonts w:ascii="Times New Roman" w:hAnsi="Times New Roman"/>
          <w:sz w:val="20"/>
        </w:rPr>
      </w:pPr>
      <w:bookmarkStart w:id="40" w:name="item_1a_risk_factors"/>
      <w:bookmarkEnd w:id="40"/>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In that event, the market price of our common stock could decline, and you could lose part or all of your investment. Additional risks and uncertainties that we are unaware of, or that we currently believe are not material, may also become important factors that adversely affect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not achieve the intended benefits of the sale of our Video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depend on cable and telecommunication industry spending for our revenue and any material decrease or delay in spending in any of these industries would negatively impact our operating results, financial condition and cash flows;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need to develop and introduce new and enhanced products and solutions in a timely manner to meet the needs of our customers and to remain competitive;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markets in which we operate are intensely competitive;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growth depends on a number of broadband industry trends;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software-based broadband product initiatives expose us to certain technology transition risks that may adversely impact our operating results, financial condition and cash flows;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purchase several key components, subassemblies and modules used in the manufacture or integration of our products from sole or limited sources, and we rely on contract manufacturers and other subcontractors;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face risks associated with having employees and operations in Israel and outsourced engineering resources located in Ukraine;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360"/>
        <w:jc w:val="left"/>
        <w:rPr>
          <w:color w:val="000000"/>
        </w:rPr>
      </w:pPr>
      <w:r>
        <w:rPr>
          <w:color w:val="000000"/>
        </w:rPr>
        <w:t>•</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If we are unsuccessful at executing our business plan and necessary transition activities following the sale of our Video business, our business and results of operations may be adversely affected and our ability to invest and grow our business could be limited.</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the Sale of our Video Business</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unsuccessful in executing our business plan and necessary transition activities following the sale of our Video business, our business and results of operations may be adversely affected and our ability to invest and grow our business could be limited.</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June 16, 2026, we completed the sale of our Video business to Leone Media Inc. (the "Disposition"). We face risks related to the Disposition, including the diversion of management’s attention related to our continuing obligations under the transition services agreement, disruption of our relationships with third parties and employees, and restrictions on our business activities and potential litigation related to the Disposition. If these efforts are more costly or time-consuming than expected, our business and results of operations may be adversely affected, which could limit our ability to invest in and grow our business.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achieve the intended benefits of the sale of our Video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not realize some or all of the anticipated benefits of the Disposition with respect to the anticipated performance in our remaining business segment and the Disposition may adversely affect our business. Our ability to realize the anticipated benefits of the Disposition will depend significantly on our ability to successfully operate, grow and develop the remaining business segment in the absence of our Video business. In addition, some of the anticipated benefits may not occur for a significant time period following the completion of the Disposition. If our strategy is not successful and does not achieve our expectations over the long term, our business and results of operations may be adversely affected and the price of our common stock could decline. </w:t>
      </w:r>
    </w:p>
    <w:p>
      <w:pPr>
        <w:pStyle w:val="TextBody"/>
        <w:bidi w:val="0"/>
        <w:spacing w:before="160" w:after="283"/>
        <w:jc w:val="left"/>
        <w:rPr>
          <w:rFonts w:ascii="Times New Roman" w:hAnsi="Times New Roman"/>
          <w:sz w:val="20"/>
        </w:rPr>
      </w:pPr>
      <w:r>
        <w:rPr>
          <w:rFonts w:ascii="Times New Roman" w:hAnsi="Times New Roman"/>
          <w:b/>
          <w:i/>
          <w:color w:val="000000"/>
          <w:sz w:val="20"/>
        </w:rPr>
        <w:t>Our future results of operations will be dependent solely on the operations of the Broadband business and may differ materially from our previous results.</w:t>
      </w:r>
      <w:r>
        <w:rPr>
          <w:rFonts w:ascii="Times New Roman" w:hAnsi="Times New Roman"/>
          <w:color w:val="000000"/>
          <w:sz w:val="20"/>
        </w:rPr>
        <w:t xml:space="preserve"> </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 xml:space="preserve">The Video business generated approximately 37% of our aggregate revenue for fiscal year 2025. Following the completion of the Disposition on June 16, 2026, all of our revenue will be derived from our Broadband business. Accordingly, our future financial results may differ from our previous results since our future financial results will be dependent solely on our Broadband business. Any downturn in our Broadband business could have a material adverse effect on our future operating results and financial condition and could materially and adversely affect the trading price of our common stock. </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Our Business and Our Industry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depend on cable and telecommunication industry spending for our revenue and any material decrease or delay in spending in any of these industries would negatively impact our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revenue has been derived from worldwide sales to broadband service providers. We expect that these markets will provide our revenue for the foreseeable future. Demand for our products and solutions will depend on the magnitude and timing of spending by customers in each of these markets for the purpose of creating, expanding or upgrading their systems. These spending patterns are dependent on a variety of factors,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general economic conditions, actual and projected, including inflation, changing interest rates, lower consumer confidence, volatile capital markets, supply chain disruptions, changes in tariffs and trade policies, government shutdowns, uncertainty and volatility in the financial services sector and the impact of the Middle East and Russia-Ukraine conflicts, and government and business responses thereto, on the global economy and regional economies;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access to financing;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annual budget cycles of customers in each of the industries we serve;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industry consolidation;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customers suspending, reducing or shifting spending in order to transition or adapt to new broadband industry standards and industry trends or technology shifts;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federal, state, local and foreign government regulation of the broadband industry;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overall demand for broadband services;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competitive pressures, including pricing pressures, and the impact of fluctuations in currency exchange rates, such as the strengthening of the U.S. dollar;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specific factors contributing to reduced spending have included: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weak or uncertain economic and financial conditions in the United States or one or more international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related to development of industry technology;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delays in evaluations of new services, new standards and systems architectures by certain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reduction in the amount of capital available to finance projects of our customers and potential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proposed and completed business combinations and divestitures by our customers and the length of regulatory review of each;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completion of a new system or significant expansion or upgrade to a system;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bankruptcies and financial restructuring of major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past, adverse economic conditions in one or more of the geographies in which we offer our products have adversely affected our customers’ spending in those geographies and, as a result, our business. During challenging economic times in such geographies, such as those caused by the Middle East and Russia-Ukraine conflicts in each respective geography, inflation, currency devaluation, and bank insolvencies and related uncertainty and volatility in the financial services sector and in tight credit markets, many customers have delayed and reduced and may continue to delay or reduce capital expenditures. This has resulted and could continue to result in reductions in revenue from our products, longer sales cycles, difficulties in collection of accounts receivable, slower adoption of new technologies and increased price competition. If global economic and market conditions, or economic conditions in the United States, Europe or other key markets, remain uncertain or deteriorate, we could experience a material and adverse effect on our business, results of operations, financial condition and cash flows.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uncertainty regarding the impact of tariffs imposed or threatened by the current U.S. administration, as well as any potential retaliatory measures by impacted trade partners, could adversely impact trade relations, result in higher costs and thereby decrease the purchasing power of our customers, which could delay purchasing decisions, impact payment terms and collections,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since most of our international revenue is denominated in U.S. dollars, global economic and market conditions, including those exacerbated by a prolonged government shutdown, may impact currency exchange rates and cause our products to become relatively more expensive to customers in a particular country or region, which could lead to delayed or reduced spending in those countries or regions, thereby negatively impacting our business and financial condition.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industry consolidation has in the past constrained, and may in the future constrain or delay, spending by our customers. Further, if our product portfolio and product development plans do not position us well to capture an increased portion of the spending of customers in the markets on which we focus, our revenue may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various factors and potential issues related to customer spending, we may not be able to maintain or increase our revenue in the future, and our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Historically, a significant portion of our revenue has been derived from relatively few customers, due in part to customer consolidation. Sales to our top 10 customers in the three and six months ended July 3, 2026 accounted for approximately 89% and 87%, respectively, of our net revenue compared to 88% and 86% for the corresponding periods in 2025. Although we continue to seek to broaden our customer base by penetrating new markets and further expanding domestically and internationally, we expect to see continuing industry consolidation activity and customer concentration.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July 3, 2026, two of our customers accounted for approximately 45% and 18%, respectively, of our net revenue, compared to one customer accounted for approximately 54% of our net revenue during the three months ended June 27, 2025. During the six months ended July 3, 2026, two of our customers accounted for approximately 41% and 20%, respectively, of our net revenue, compared to two customers accounted for approximately 51% and 13%, respectively, of our net revenue during the six months ended June 27, 2025. Further consolidation among cable operators and telecommunication companies could lead to additional revenue concentration for us. The loss of any significant customer, or any material reduction in orders from any other significant customer, or our failure to qualify our new products with any significant customer could materially and adversely affect, either long term or in a particular quarter, our operating results, financial condition and cash flows. If our significant customers deploy our solutions slower or at a scale that is lower than we anticipate, our operating results, financial condition and cash flows could be materially and adversely affected.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 most quarters, we are involved in one or more relatively large individual transactions. A decrease in the number of the relatively large individual transactions in which we are involved in any quarter could materially and adversely affect the operating results for that quarter for the applicable business unit or the Company as a whole.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and other factors, we may be unable to increase our revenues from some or all of the markets we address, or to do so profitably, and any failure to increase revenues and profits from these customers could materially and adversely affect our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need to develop and introduce new and enhanced products and solutions in a timely manner to meet the needs of our customers and to remain competitive.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of the markets we address are characterized by continuing technological advancement, changes in customer requirements and evolving industry standards. To compete successfully, we must continually design, develop, manufacture and sell new or enhanced products and solutions that provide increasingly higher levels of performance and reliability and meet our customers’ changing needs. However, we may not be successful in those efforts if, among other things, our products and solutions: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cost effective;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brought to market in a timely manner;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not in accordance with evolving industry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fail to meet market acceptance or customer requirements;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ahead of the needs of their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new standards or some of our new products are adopted later than we predict or not adopted at all, or if adoption occurs earlier than we are able to deliver the applicable products or functionality, we risk spending significant research and development time and dollars on products or features that may never achieve market acceptance or that miss the customer demand window and thus do not produce the revenue that a timely introduction would have likely produced.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fail to develop and market new and enhanced products and solutions on a timely basis, our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markets in which we operate are intensely competitive.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markets for our products are extremely competitive and have been characterized by rapid technological change and declining average sales prices in the past. Our competitors in our Broadband business include a number of suppliers of networking and communications equipment and solutions to broadband service providers. A number of our principal business competitors are substantially larger and/or may have access to greater financial, technical, marketing or other resources than we have.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some of our larger competitors may have more long-standing and established relationships with certain domestic and foreign customers. Many of these large enterprises are in a better position to withstand any significant reduction in spending by customers in such markets and may be better able to navigate periods of market uncertainty, such as the uncertainty caused by the Middle East and the Russia-Ukraine conflicts and related risks of escalation or broader regional conflicts, bank insolvency and related uncertainty and volatility in the financial services sector and inflation. They often have broader product lines and market focus, and may not be as susceptible to downturns in a particular market. These competitors may also be able to bundle their products together to meet the needs of a particular customer, and may be capable of delivering more complete solutions than we are able to provide. To the extent large enterprises that currently do not compete directly with us choose to enter our markets by acquisition or otherwise, competition would likely intensify.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Further, some of our competitors have offered, and in the future may offer, their products at lower prices than we offer for our competing products or on more attractive financing or payment terms, which has in the past caused, and may in the future cause, us to lose sales opportunities and the resulting revenue or to reduce our prices in response to that competition. Also, some competitors that are smaller than us have engaged in, and may continue to engage in, aggressive price competition in order to gain customer traction and market share. Reductions in prices for any of our products could materially and adversely affect our operating margins and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any of our competitors’ products or technologies were to become the industry standard, our business could be seriously harmed. If our competitors are successful in bringing their products to market earlier than us, or if these products are more technologically capable than ours, our revenue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future growth depends on a number of broadband industry trends.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Technology, industry and regulatory trends and requirements may affect the growth of our business. These trends and requirements include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more consumers with more connected devices and applications;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convergence, whereby network operators bundle video, voice and data services to consumers, including mobile delivery options;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continued strong consumer demand for bandwidth-intensive video-on-demand and streaming video services, interactive cloud applications and bandwidth usage drive by artificial intelligence (“AI”);</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pace of adoption and deployment of high-bandwidth technology, such as DOCSIS 3.x, DOCSIS 4.0, next generation LTE and FTTP, along with virtualized broadband access solutions and distributed multiple access architectures;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efforts by regulators and governments in the United States and internationally to encourage the adoption of broadband and digital technologies, including 5G broadband networks, as well as to regulate broadband access and delivery;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need to develop partnerships with other companies involved in broadband services and infrastructure workflow;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extent and nature of regulatory attitudes towards issues such as network neutrality, competition between operators, access by third parties to networks of other operators, local franchising requirements for telcos to offer video, and other new services, such as mobile video.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fail to recognize and respond to these trends, by timely developing products, features and services required by these trends, we are likely to lose revenue opportunities and our operating results, financial condition and cash flows could be materially and adversely affected.</w:t>
      </w:r>
    </w:p>
    <w:p>
      <w:pPr>
        <w:pStyle w:val="TextBody"/>
        <w:bidi w:val="0"/>
        <w:spacing w:before="160" w:after="283"/>
        <w:jc w:val="left"/>
        <w:rPr>
          <w:rFonts w:ascii="Times New Roman" w:hAnsi="Times New Roman"/>
          <w:sz w:val="20"/>
        </w:rPr>
      </w:pPr>
      <w:r>
        <w:rPr>
          <w:rFonts w:ascii="Times New Roman" w:hAnsi="Times New Roman"/>
          <w:b/>
          <w:i/>
          <w:color w:val="000000"/>
          <w:sz w:val="20"/>
        </w:rPr>
        <w:t>Our software-based broadband access product initiatives expose us to certain technology transition risks that may adversely impact our operating results, financial condition and cash flows</w:t>
      </w:r>
      <w:r>
        <w:rPr>
          <w:rFonts w:ascii="Times New Roman" w:hAnsi="Times New Roman"/>
          <w:color w:val="000000"/>
          <w:sz w:val="2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cOS software-based broadband access solutions, supporting centralized, DAA or hybrid configurations, will continue to significantly reduce broadband operator headend costs and increase operational efficiency, and are an important step in operators’ transition to all-IP networks. If we are unsuccessful in continuing to innovate, develop, and deploy our broadband access solutions in a timely manner, or are otherwise delayed in making our solutions available to our customers, our business may be adversely impacted, particularly if our competitors develop and market similar or superior products and solutions.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software-based broadband access solutions will continue to replace and make obsolete current CMTS solutions, which is a market our products have historically not addressed, as well as cable edge-QAM products. If demand for our software-based broadband access solutions is weaker than expected, our near and long-term operating results, financial condition and cash flows could be adversely impacted. Moreover, if competitors adapt new broadband industry technology standards into competing broadband access solutions faster than we do, or if they promulgate a new or competitive architecture for next-generation broadband access solutions that renders our cOS solution obsolete, our business may be adversely impacted.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sales cycle for our cOS solutions tends to be long. For broadband operators, upgrading or expanding network infrastructure is complex and expensive, and investing in a cOS solution is a significant strategic decision that may require considerable time to evaluate, test and qualify. Potential customers need to ensure our cOS solution will interoperate with the various components of its existing network infrastructure, including third-party equipment, servers and software. In addition, since we are a relatively new entrant into the broadband access market, we need to demonstrate significant performance, functionality and/or cost advantages with our cOS solutions that outweigh customer switching costs. If sales cycles are significantly longer than anticipated or we are otherwise unsuccessful in growing our cOS sales, our operating results, financial condition and cash flows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continue to fluctuate in the future, on an annual and a quarterly basis, as a result of several factors, many of which are outside of our control. Some of the factors that may cause these fluctuations include: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level and timing of spending of our customers in the United States, Europe and in other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economic and financial conditions specific to each of the cable and telecommunication industries; general economic and financial market conditions, including impacts from the Middle East and Russia-Ukraine conflicts and related risks of escalation or broader regional conflicts, tensions between China and Taiwan and China and the United States; changes in tariffs and trade policies; bank insolvencies and related uncertainty and volatility in the financial services sector; inflation; and government and business responses thereto as well as related supply chain and labor shortage issues;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market acceptance of and demand for our products or our customers’ services or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and amount of orders, especially from large individual transactions and transactions with our significant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mix of our products sold and the effect it has on gross margins;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revenue recognition, including revenue recognition on sales arrangements and from transactions with significant service and support components, which may span several quarters;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completion of our customers’ projects;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length of each customer product upgrade cycle and the volume of purchases during the cycle;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competitive market conditions, including pricing actions by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level and mix of our domestic and international revenue;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new product introductions by our competitors or by us;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in the European Union due to unrest or violence in Ukraine that the ongoing military conflict with the Russian Federation has caused, which could adversely affect our results, financial condition and prospects;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uncertainty in the Middle East due to the latest developments in the conflicts in the region and the risk of escalation and broader conflict in the Middle East, which could also adversely affect our results, financial condition and prospects;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domestic and international regulatory environments affecting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evaluation of new services, new standards and system architectures by our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 and timely availability to us of components, subassemblies and modules;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mix of our customer base, by industry and size, and sales channels;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our operating and extraordinary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acquisitions and dispositions by us and the financial impact of such transactions;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impairment of our goodwill;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litigation, such as related litigation expenses and settlement costs;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write-downs of inventory and investments;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our effective federal tax rate, including as a result of changes in our valuation allowance against our deferred tax assets, and changes in our effective state tax rates, including as a result of apportionment;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to tax rules related to the deferral of foreign earnings and compliance with foreign tax rules;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applicable accounting guidance on accounting for uncertainty in income taxes that requires us to establish reserves for uncertain tax positions and accrue potential tax penalties and interest;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applicable accounting guidance on business combinations that requires us to record charges for certain acquisition related costs and expenses and generally to expense restructuring costs associated with a business combination subsequent to the acquisition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timing of deployment of our products by our customers can be subject to a number of other risks, including the availability of skilled engineering and technical personnel, and the availability of third-party equipment and services.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often recognize a substantial portion of our quarterly revenue in the last month of the quarter. We establish our expenditure levels for product development and other operating expenses based on projected revenue levels for a specified period, and expenses are relatively fixed in the short term. Accordingly, even small variations in the timing of revenue, particularly from relatively large individual transactions, can cause significant fluctuations in operating results in a particular quarter.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these factors and other factors, our operating results in one or more future periods may fail to meet or exceed the expectations of securities analysts or investors. In that event, the trading price of our common stock would likely decline.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purchase several key components, subassemblies and modules used in the manufacture or integration of our products from sole or limited sources, and we rely on contract manufacturers and other subcontractors. Our components may be subject to price fluctuations, shortages or interruptions of supply, including as a result of geopolitical instability and the use and evolution of AI.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reliance on sole or limited suppliers, particularly foreign suppliers, and our reliance on contractors for manufacturing and installation of our products, involves several risks, including a potential inability to obtain an adequate supply of required components, subassemblies or modules; reduced control over costs, quality and timely delivery of components, subassemblies or modules; supplier discontinuation of components, subassemblies or modules we require; and timely installation of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our financial results may be impacted by tariffs imposed by the United States on goods from other countries and tariffs imposed by other countries on U.S. goods. Plexus Services Corp. (“Plexus”), which manufactures our products at its facilities in Malaysia, currently serves as our primary contract manufacturer, and currently accounts for a majority, by dollar amount, of the products that we purchase from our contract manufacturers. Since February 2025, the U.S. government has and may continue to impose various tariffs on certain commodities and on products of many countries globally. While certain tariff actions were invalidated by subsequent determinations of the U.S. Supreme Court, the U.S. government continues to impose tariffs under additional legal authorities, and the timing and availability of refunds for previous payments in connection with certain tariffs imposed since February 2025 is uncertain and subject to further regulatory and administrative action. We are closely monitoring U.S. tariff policies, and retaliatory tariffs and actions from U.S. trading partners, which could have an adverse impact on our business and financial results. The full impact of these tariff measures on our business is uncertain. Further U.S. government investigations are currently underway that may result in new tariffs on certain products, including semiconductors, computers, and other products derivative of critical minerals.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can be no assurances that these disruptions will not continue or increase in the future, including with respect to countries with which we do business. The degree to which these changes in the global marketplace affect our financial results will be influenced by the specific details of the changes in trade policies, their timing and duration, and our effectiveness in deploying strategies to address these issues. During the fiscal year 2025, we experienced a moderate increase in tariff-related costs due to U.S. tariff policies. Further increases in or expansion of tariffs on products or components that we import, including those obtained from a sole supplier or a limited group of suppliers, or our contract manufacturers, that we are unable to mitigate through our sourcing and supply chain optimization strategies could result in additional increased costs, reduced revenues and/or the need to raise prices, any of which could have an adverse effect on our business, financial condition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risks could be heightened during a substantial economic slowdown, which may be caused or exacerbated by the above-noted changes in the tariff and trade policies of the United States or its trading partners, because our suppliers and subcontractors are more likely to experience adverse changes in their financial condition and operations during such a period. Further, these risks could materially and adversely affect our business if one of our sole sources, or a sole source of one of our suppliers or contract manufacturers, is adversely affected by a natural disaster, public health crises, political crises, or other unforeseen events. These risks could also be heightened by geopolitical factors. For example, a number of the components we use in our products are sourced through Taiwan. Deterioration of relations between Taiwan and China and the United States, the resulting actions taken by any of these parties, and other factors affecting the political or economic conditions of Taiwan in the future, could adversely impact our supply chain, international sales and operations. While we expend resources to qualify additional component sources, consolidation of suppliers and the small number of viable alternatives have limited the results of these efforts. Managing our supplier and contractor relationships is particularly difficult during time periods in which we introduce new products and during time periods in which demand for our products is increasing, especially if demand increases more quickly than we expect.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we assess our relationship with our contract manufacturers, and we do not generally maintain long-term agreements with any of our suppliers or contract manufacturers. Our agreement with Plexus has automatic annual renewals, unless prior notice is given by either party, and has been automatically renewed for a term expiring in October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our products that use components may experience price fluctuations, shortages, or interruptions of supply. Geopolitical instability and the global use and evolution of AI has at times contributed to a reduction of components for our products, which may in turn increase costs, extend manufacturing lead times, and make it difficult for us to accurately project component demand and anticipate our needs. As AI-driven demand for chips and other components increases, the price of components may increase, or the components may not be available at all, and we may not be able to secure an adequate supply of components at reasonable prices or of acceptable quality to build and deliver products in a timely manner in the qualities needed. We may not be able to diversify our component parts in a timely manner, which could harm our ability to produce or timely deliver our products to customers, impacting future sales. As a result, we may lose sales and experience increased component costs, which in turn may cause our revenue and gross margins to suffer. </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Difficulties in managing relationships with any of our current contract manufacturers, particularly Plexus, that manufacture our products off-shore, or any of our suppliers of key components, subassemblies and modules used in our products, could impede our ability to meet our customers’ requirements and adversely affect our operating results. An inability to obtain adequate and timely deliveries of our products or any components or materials used in our products, or the inability of any of our contract manufacturers to scale their production to meet demand, or any other circumstance that would require us to seek alternative sources of supply, would negatively affect our ability to ship our products on a timely basis, which could damage relationships with current and prospective customers and harm our business and materially and adversely affect our revenue and other operating results. Furthermore, if we fail to meet customers’ supply expectations, our revenue would be adversely affected and we may lose sales opportunities, both short and long term, which could materially and adversely affect our business and our operating results, financial condition and cash flows. Increases, from time to time, in demand on our suppliers and subcontractors from our customers or from other parties have, on occasion, caused delays in the availability of certain components and products. In response, we may increase our inventories of certain components and products and expedite shipments of our products when necessary. These actions could increase our costs and could also increase our risk of holding obsolete or excess inventory, which, despite our use of a demand order fulfillment model, could materially and adversely affect our business, operating results, financial condition and cash flows.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Operational Risks</w:t>
      </w:r>
    </w:p>
    <w:p>
      <w:pPr>
        <w:pStyle w:val="TextBody"/>
        <w:bidi w:val="0"/>
        <w:jc w:val="left"/>
        <w:rPr>
          <w:rFonts w:ascii="Times New Roman" w:hAnsi="Times New Roman"/>
          <w:b/>
          <w:i/>
          <w:color w:val="000000"/>
          <w:sz w:val="20"/>
        </w:rPr>
      </w:pPr>
      <w:r>
        <w:rPr>
          <w:rFonts w:ascii="Times New Roman" w:hAnsi="Times New Roman"/>
          <w:b/>
          <w:i/>
          <w:color w:val="000000"/>
          <w:sz w:val="20"/>
        </w:rPr>
        <w:t>We face risks associated with having facilities and employees located in Israel.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July 3, 2026, we maintained facilities in Israel with a total of 195 employees, or approximately 36% of our worldwide workforce. Our Chief Executive Officer is also based in Israel. Our employees in Israel engage in a number of activities including research and development, product development, product management, supply chain management for certain product lines and sales activities.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such, we are directly affected by the political, economic and military conditions affecting Israel, such as the ongoing conflict in the Middle East and the risk of escalation and broader conflict in the region. Any significant conflict involving Israel could have a direct effect on our business, in the form of physical damage to our facilities or injury to personnel, restrictions from traveling or reluctance to travel to, from, or within Israel by our Israeli and other employees or those of our subcontractors, or the loss of Israeli employees to active military duty. Most of our employees in Israel are currently obligated to perform annual reserve duty in the Israel Defense Forces. In 2025, approximately 10% of our employees in Israel were called for military duty in connection with the current conflict in the Middle East, and in the event that more of our employees are called to active duty, certain of our research and development, product development and testing and other activities may be significantly delayed and adversely affected. Further, the interruption or curtailment of supply chains or trade between Israel and its trading partners, as a result of terrorist attacks or hostilities, conflicts between Israel and any other Middle Eastern country or organization, or any other cause, could significantly harm our business. Additionally, current or future tensions or conflicts in the Middle East,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face risks associated with having outsourced engineering resources located in Ukraine.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outsource a portion of our research and development and product support activities to our third-party partner, GlobalLogic, a Hitachi group company. Through GlobalLogic, we have a significant number of engineering resources located in Kyiv, Ukraine. Political, social and economic instability and unrest or violence in Ukraine from the ongoing military conflict with the Russian Federation have caused, and may continue to cause, disruptions to the business and operations of GlobalLogic, which could slow or delay the development work our outsourced engineering teams are undertaking for us. From the outset of the Russian invasion of Ukraine, our employees have been restricted from traveling to Ukraine and have directed and coordinated our outsourced engineering teams remotely. While we have not yet experienced any significant disruptions to our development work in Ukraine, any further escalation of military activity, political tensions, instability, unrest or conflict could disrupt or prevent the work of our outsourced engineering teams, or cause us to shift all or portions of the development work occurring in Ukraine, and/or cause GlobalLogic to relocate personnel to other locations or countries pursuant to its business continuity plans. Any resulting delays could negatively impact our product development efforts, operating results and our business. In addition, increased costs associated with managing or relocating our outsourced engineering teams in Ukraine, or engaging with alternative engineering resources outside of Ukraine, could negatively impact our operating results and financial condition.</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We may not be able to effectively manage our operations.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July 3, 2026, we had 364 employees in our international operations, representing approximately 66% of our worldwide workforce. Our ability to manage our business effectively in the future, including with respect to any future growth, our operation as both a hardware and increasingly software and SaaS-centric business, the integration of any acquisition efforts, and the breadth of our international operations, will require us to train, motivate and manage our employees successfully, to attract and integrate new employees into our overall operations, to retain key employees and to continue to improve and evolve our operational, financial and management systems. There can be no assurance that we will be successful in any of these efforts, and our failure to effectively manage our operations could have a material and adverse effect on our business, operating results, cash flows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 order to manage our growth, we must be successful in addressing management succession issues and attracting and retaining qualified personnel.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success will depend, to a significant extent, on the ability of our management to operate effectively, both individually and as a group. We must successfully manage transition and replacement issues that may result from the departure or retirement of members of our executive management. Any significant leadership change or senior management transition involves inherent risks and any failure to ensure timely and suitable replacements and smooth transition could hinder our strategic planning, business execution, and future performance. We cannot provide assurances that any current or future changes of management personnel will not cause disruption to operations or customer relationships or a decline in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also dependent on our ability to retain and motivate our existing highly qualified personnel, in addition to attracting new highly qualified personnel. Competition for qualified management, technical and other personnel is often intense, particularly in Israel where we have significant research and development activities, and we may not be successful in attracting and retaining such personnel. Competitors and others have in the past attempted, and are likely in the future to attempt, to recruit our employees. While our employees are required to sign standard agreements concerning confidentiality, non-solicitation and ownership of inventions, other than in Israel, we generally do not have non-competition agreements with our personnel. The loss of the services of any of our key personnel, the inability to attract or retain highly qualified personnel in the future or delays in hiring such personnel, particularly senior management and engineers and other technical personnel, could negatively affect our business and operating results. Furthermore, a certain portion of our personnel in the United States is comprised of foreign nationals whose ability to work for us depends on obtaining the necessary visas. Our ability to hire and retain foreign nationals in the United States, and their ability to remain and work in the United States, is affected by various laws and regulations, including limitations on the availability of visas. Changes in U.S. laws or regulations affecting the availability of visas have, and may continue to adversely affect, our ability to hire or retain key personnel and as a result may impair our operations.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products include third-party technology and intellectual property, and our inability to acquire new technologies or use third-party technology in the future could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order to successfully develop and market certain of our planned products, we may be required to enter into technology development or licensing agreements with third parties. Although companies with technology useful to us are often willing to enter into technology development or licensing agreements with respect to such technology, we cannot provide assurances that such agreements may be negotiated on commercially reasonable terms, or at all. The failure to enter, or a delay in entering, into such technology development or licensing agreements, when necessary or desirable, could limit our ability to develop and market new products and could materially and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incorporate certain third-party technologies, including software programs, into our products, and, as noted, intend to utilize additional third-party technologies in the future. In addition, the technologies that we license may not operate properly or as specified, and we may not be able to secure alternatives in a timely manner, either of which could harm our business. We could face delays in product releases until alternative technology can be identified, licensed or developed, and integrated into our products, if we are able to do so at all. These delays, or a failure to secure or develop adequate technology,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Cybersecurity incidents, including data security breaches or computer viruses, could harm our business by disrupting our business operations, compromising our products and services, damaging our reputation or exposing us to liability.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and rapid advances in AI-enabled cybersecurity breaching capabilities may increase the likelihood and frequency of our being impacted by security breaches or incidents and the severity of those impacts. Additionally, geopolitical events such as the Iran war, the Middle East and Russia-Ukraine conflicts and heightened tension between Israel and Iran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security breaches and incidents, computer viruses, denial-of-service attacks, or disruptions from unauthorized tampering or human error, our ability to conduct our business effectively could be damaged in a number of ways,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intellectual property and other proprietary data, or financial assets, could be stolen, lost, altered, or otherwise unavailable;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manage and conduct our business operations could be seriously disrupted;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defects and security vulnerabilities could be introduced into our product, software and SaaS offerings, thereby damaging the reputation and perceived reliability and security of our products;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operating results could be adversely affected by natural disasters affecting us or impacting our third-party manufacturers, suppliers, resellers or 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corporate headquarters is located in California, which is prone to earthquakes. In addition, climate change is contributing to an increase in erratic weather patterns globally and intensifying the impact of certain types of catastrophes, such as floods, wildfires and droughts. We have employees, consultants and contractors located in regions and countries around the world. In the event that any of our business, sales or research and development centers or offices in the United States or internationally are adversely affected by an earthquake, flood, wildfire or by any other natural disaster, we may sustain damage to our operations and properties, which could cause a sustained interruption or loss of affected operations, and cause us to suffer significant financial losses.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rely on third-party contract manufacturers for the production of our products. Any significant disruption in the business or operations of such manufacturers or of their or our suppliers could adversely impact our business. Our principal contract manufacturers and several of their and our suppliers and our resellers have operations in locations that are subject to natural disasters, such as severe weather, tsunamis, floods, fires and earthquakes, which could disrupt their operations and, in turn, our operations.</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In addition, if there is a natural disaster in any of the locations in which our significant customers are located, we face the risk that our customers may incur losses or sustained business interruption, or both, which may materially impair their ability to continue their purchase of products from us. Accordingly, natural disaster in one of the geographies in which we, or our third-party manufacturers, their or our suppliers or our customers, operate could have a material and adverse effect on our business, operating results, cash flows and financial condition.</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Financial, Transactional and Tax Risks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need additional capital in the future and may not be able to secure adequate funds at all or on terms acceptable to us.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engage in the design, development and manufacture and sale of a variety broadband access products and system solutions, which has required, and will continue to require, significant research and development expenditures.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monitoring and managing our cash position in light of ongoing market conditions due to general economic and market conditions, volatility and uncertainty in the banking and financial services sector, overall fluctuations in U.S. equity markets, the Middle East and Russia-Ukraine conflicts, and related macroeconomic conditions. We believe that our existing cash of approximately $231.9 million as of July 3, 2026 will satisfy our cash requirements for at least the next twelve months. However, we may need to raise additional funds to take advantage of presently unanticipated strategic opportunities, satisfy our other cash requirements from time to time, or strengthen our financial position. Our ability to raise funds may be adversely affected by a number of factors, including factors beyond our control, such as weakness in the economic conditions in markets in which we sell our products, bank failures and continued uncertainty in financial, capital and credit markets. There can be no assurance that equity or debt financing will be available to us on reasonable terms, if at all, when and if it is needed.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raise additional financing through public or private equity or convertible debt offerings, debt financings, or corporate partnership or licensing arrangements. To the extent we raise additional capital by issuing equity securities or convertible debt, our stockholders may experience dilution, and any new equity or convertible debt securities we issue could have rights, preferences, and privileges superior to holders of our common stock. Further, volatility in equity capital markets may adversely affect market prices of our common stock. This may materially and adversely affect our ability to raise additional capital through public or private equity offerings. To the extent that we raise additional funds through collaboration and licensing arrangements, it may be necessary to relinquish some rights to our technologies or products, or grant licenses on terms that are not favorable to us. Our current debt agreements require, and any debt financing that we secure in the future may require us to pledge assets or enter into covenants that could restrict our operations or our ability to incur further indebtedness and our interest obligations with respect to such debt may adversely affect our operating results. Further, high interest rates and tightening credit markets may reduce our access to debt financing, which may adversely affect our future business plans and expected growth and would increase the cost of fixed rate and/or variable rate borrowings, which could reduce our earnings.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adequate capital is not available, or is not available on reasonable terms, when needed, we may not be able to take advantage of acquisitions or other market opportunities, to timely develop new products, or to otherwise respond to competitive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Credit Agreement imposes operating and financial restrictions on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December 21, 2023, we entered into a Credit Agreement, among the Company, certain subsidiaries of the Company from time to time party thereto, the lenders party thereto from time to time and Citibank, N.A., as administrative agent (the “Credit Agreement”). The obligations under the Credit Agreement and the other loan documents are required to be guaranteed by certain of our material subsidiaries and secured by substantially all of the assets of the Company and such subsidiary guarantors. As amended in December 2024, the Credit Agreement provides for a $160.0 million secured revolving loan facility (the “Revolving Facility”), with a $10.0 million sublimit for the issuance of letters of credit, and a $40.0 million secured delayed draw term loan facility (the “Term Facility”). To finance the settlement of the conversions of the 2024 Notes in connection with our delivery of the notice of redemption for such 2024 Notes, we drew down $75.0 million on the Revolving Facility and $40.0 million on the Term Facility, respectively. As of July 3, 2026, we had $84.7 million remaining available for borrowing under the Revolving Facility and no remaining amounts available for borrowing under the Term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Credit Agreement contains covenants that limit our ability and the ability of our subsidiaries to, subject to certain limitations and exceptions: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grant liens;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debt;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make acquisitions and other investments;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undergo certain fundamental changes;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make certain restricted payments;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enter into transactions with affiliates;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enter into burdensome agreements.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Further, the Credit Agreement contains financial covenants that require compliance with a maximum consolidated net leverage ratio and minimum fixed charge coverage ratio, in each case, determined in accordance with the terms of the Credit Agreement. These covenants may adversely affect our ability to finance our operations, meet or otherwise address our capital needs, pursue business opportunities or react to market conditions, or otherwise restrict our activities or business plans. In addition, our obligations to repay principal and interest on our indebtedness could make us vulnerable to economic or market downturns.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breach of any of these covenants could result in an event of default under the Credit Agreement. As of July 3, 2026, we were in compliance with all covenants under the Credit Agreement; however, if an event of default occurs, the lenders may terminate their commitments and accelerate our obligations under the Credit Agreement. We might not be able to repay our debt or borrow sufficient funds to refinance it on terms that are acceptable to us.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may not have sufficient cash flow from our business to pay our substantial debt.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any amounts borrowed under our Credit Agreement,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our ability to borrow under the terms of the Credit Agreement, the capital markets and our financial condition at such time. We may not be able to engage in any of these activities or engage in these activities on desirable terms, which could result in a default on our debt obligations, including any outstanding loans under the Credit Agreement.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Despite our current debt levels, we may still incur substantially more debt or take other actions which would intensify the risks discussed above.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Despite our current consolidated debt levels, we and our subsidiaries may be able to incur substantial additional debt in the future, subject to the restrictions contained in our debt instruments, some of which may be secured debt. Such additional indebtedness could have the effect of diminishing our ability to make payments on our debt when due. Our Credit Agreement permits us to incur certain additional indebtedness and grant certain liens on our assets, subject to limitations and requirements as set forth in the Credit Agreement, that could intensify the risks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have made, and may continue to make, acquisitions, and any acquisition could disrupt our operations, cause dilution to our stockholders and materially and adversely affect our business, operating results, cash flows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part of our business strategy, from time to time we have acquired, and we may continue to acquire, businesses, technologies, assets and product lines that we believe complement or expand our existing business. Acquisitions involve numerous risks,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unanticipated costs or delays associated with an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the assimilation and integration of acquired operations, technologies and/or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disruption of our business and the diversion of management’s attention from the regular operations of the business during the acquisition process;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challenges of managing a larger and more geographically widespread operation and product portfolio after the closing of the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adverse effects on new and existing business relationships with suppliers, contract manufacturers, resellers, partners and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compliance with regulatory requirements, such as local employment regulations and organized labor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risks associated with entering markets in which we may have no or limited prior experience;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potential loss of key employees of acquired businesses and our own business as a result of integration;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bringing acquired products and businesses into compliance with applicable legal requirements in jurisdictions in which we operate and sell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impact of known potential liabilities or unknown liabilities, including litigation and infringement claims, associated with companies we acquire;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substantial charges for acquisition costs or for the amortization of certain purchased intangible assets, deferred stock compensation or similar items;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substantial impairments to goodwill or intangible assets in the event that an acquisition proves to be less valuable than the price we paid for it;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difficulties in establishing and maintaining uniform financial and other standards, controls, procedures and policies;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delays in realizing, or failure to realize, the anticipated benefits of an acquisition;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possibility that any acquisition may be viewed negatively by our customers or investors or the financial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Competition within our industry for acquisitions of businesses, technologies, assets and product lines has been, and is likely to continue to be, intense. As such, even if we are able to identify an acquisition that we would like to consummate, we may not be able to complete the acquisition on commercially reasonable terms or because the target chooses to be acquired by another company. Furthermore, in the event that we are able to identify and consummate any future acquisitions, we may, in each of those acquisitions: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issue equity securities which would dilute current stockholders’ percentage ownership;</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substantial debt to finance the acquisition or assume substantial debt in the acquisition;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incur significant acquisition-related expenses;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assume substantial liabilities, contingent or otherwise;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expend significant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financing activities or expenditures could materially and adversely affect our operating results, cash flows and financial condition or the price of our common stock. Alternatively, due to difficulties in the capital or credit markets that may exists at the time, we may be unable to secure capital necessary to complete an acquisition on reasonable terms, or at all. Moreover, even if we were to obtain benefits from acquisitions in the form of increased revenue and earnings per share, there may be a delay between the time the expenses associated with an acquisition are incurred and the time we recognize such benefits.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July 3, 2026, we had approximately $61.1 million of goodwill recorded on our balance sheet associated with prior acquisitions. In the event we determine that our goodwill is impaired, we would be required to write down all or a portion of such goodwill, which could result in a material non-cash charge to our results of operations in the period in which such write-down occurs.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unable to successfully address one or more of these risks, our business, operating results, financial condition and cash flows could be materially and adversely affected.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United States generally accepted accounting principles (“U.S. GAAP”) are subject to interpretation by the Financial Accounting Standards Board (“FASB”), the SEC and various bodies formed to promulgate and interpret appropriate accounting principles. We are also subject to evolving rules and regulations of the countries in which we do business. Changes to accounting standards or interpretations thereof may result in different accounting principles under U.S. GAAP that have a significant effect on our reported financial results and require us to incur costs and expenses in order to comply with the updated standards or interpretations.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we have in the past and may in the future need to modify our customer contracts, accounting systems and processes when we adopt future or proposed changes in accounting principles. The cost and effect of these changes may negatively impact our results of operations during the periods of transition.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Fluctuations in our future effective tax rates could affect our future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required to periodically review our deferred tax assets and determine whether, based on available evidence, a valuation allowance is necessary. The realization of our deferred tax assets, which are predominantly in the United States, is dependent upon the generation of sufficient U.S. and foreign taxable income in the future to offset these assets. Based on our evaluation, we recorded a net decrease in valuation allowance of $0.9 million in 2025 and a net increase of $0.4 million in 2024, respectively, against the net deferred tax assets. Changes in the amount of the valuation allowance in the U.S. and in foreign jurisdictions could result in a material non-cash expense or benefit in the period in which the valuation allowance is adjusted, and our results of operations could be materially affected.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calculation of tax liabilities involves dealing with uncertainties in the application of complex global tax regulations. We recognize potential liabilities for anticipated tax audit issues in the U.S. and other tax jurisdictions based on our estimate of whether, and the extent to which, additional taxes will be due. In the event we determine that it is appropriate to create a reserve or increase an existing reserve for any such potential liabilities, the amount of the additional reserve will be charged as an expense in the period in which it is determined. If payment of these amounts ultimately proves to be unnecessary, the reversal of the liabilities would result in tax benefits being recognized in the period when we determine the liabilities are no longer necessary. If the estimate of tax liabilities proves to be less than the ultimate tax assessment for the applicable period, a further charge to expense in the period such shortfall is determined would result. Either such charge to expense could have a material and adverse effect on our operating results for the applicable period.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effective income tax rates could be adversely affected if tax authorities challenge our international tax structure or if our relative mix of U.S. and international income changes for any reason. Accordingly, there can be no assurance that our effective income tax rate will remain consistent.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Tax laws are regularly re-examined and evaluated globally. New laws and interpretations of the law are considered for financial statement purposes in the quarter or year that they are enacted.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example, effective as of January 1, 2022, the Tax Cuts and Jobs Act of 2017 eliminated the option to deduct research and development expenditures currently and requires such expenditures to be capitalized and amortized ratably over a five-year period for domestic expenditures or a fifteen-year period for foreign expenditures. However, the One Big Beautiful Bill Act of 2025, which was enacted on July 4, 2025, made a number of changes to U.S. federal income tax law, including permanently suspending the requirement to capitalize and amortize domestic research and development costs and permitting deductions for them on a current basis.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Further, the Inflation Reduction Act of 2022, among other things, imposes a one-percent non-deductible excise tax on certain repurchases of stock that are made by U.S. publicly traded corporations on or after January 1, 2023, which may affect our share repurchase program.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the Organization for Economic Co-operation and Development (the “OECD”), the European Union, as well as a number of other countries and organizations have recently enacted new laws, and proposed or recommended changes to existing tax laws, that may increase our tax obligations in many countries where we do business or require us to change the manner in which we operate our business. For example, the OECD has introduced a framework to implement a 15% global minimum corporate tax, referred to as Pillar 2, which Member States in the European Union have implemented into national legislation as of the end of 2023 and has been adopted by certain other jurisdictions. However, on June 28, 2025, the G7 released a joint statement that it had reached an understanding with the United States for a side-by-side system based on certain accepted principles, including that U.S.-parented groups, such as ours, would be exempt from certain provisions of Pillar 2. However, no laws have yet been enacted to facilitate a side-by-side system. As we expand the scale of our business activities, any changes in U.S. or foreign tax laws that apply to such activities may increase our worldwide effective tax rate and harm our business, 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Legal, Regulatory and Compliance Risks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or our customers may face intellectual property infringement claims from third parties.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In particular, leading companies in the telco industry have extensive patent portfolios. Also, patent infringement claims and litigation by entities that purchase or control patents, but do not produce goods or services covered by the claims of such patents (so-called “non-practicing entities” or “NPEs”), have increased rapidly over the last decade or so. From time to time, third parties, including NPEs, have asserted, and may assert in the future, patent, copyright, trademark and other intellectual property rights against us or our customers, and have initiated audits to determine whether we have missed royalty payments for technology that we license. Our suppliers and their customers, including us, may have similar claims asserted against them. A number of third parties, including companies with greater financial and other resources than us, have asserted patent rights to technologies that are important to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intellectual property litigation, regardless of its outcome, could result in substantial expense and significant diversion of the efforts of our management and technical personnel. An adverse determination in any such proceeding could subject us to significant liabilities and temporary or permanent injunctions and require us to seek licenses from third parties or pay royalties that may be substantial. Furthermore, necessary licenses may not be available on terms satisfactory to us, or at all. An unfavorable outcome on any such litigation matter could require that we pay substantial damages, could require that we pay ongoing royalty payments, or could prohibit us from selling certain of our products. Any such outcome could have a material and adverse effect on our business, operating results, financial condition and cash flows.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suppliers and customers may have intellectual property claims relating to our products asserted against them. We have agreed to indemnify some of our suppliers and most of our customers for patent infringement relating to our products. The scope of this indemnity varies, but, in some instances, includes indemnification for damages and expenses (including reasonable attorney’s fees) incurred by the supplier or customer in connection with such claims. If a supplier or a customer seeks to enforce a claim for indemnification against us, we could incur significant costs defending such claim, the underlying claim or both. An adverse determination in either such proceeding could subject us to significant liabilities and have a material and adverse effect on our operating results, cash flows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the subject of litigation which, if adversely determined, could harm our business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be subject to claims arising in the normal course of business. The costs of defending any litigation, whether in cash expenses or in management time, could harm our business and materially and adversely affect our operating results and cash flows. An unfavorable outcome on any litigation matter could require that we pay substantial damages, or, in connection with any intellectual property infringement claims, could require that we pay ongoing royalty payments or prohibit us from selling certain of our products. In addition, we may decide to settle any litigation, which could cause us to incur significant settlement costs. A settlement or an unfavorable outcome on any litigation matter could have a material and adverse effect on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failure to adequately protect our proprietary rights and data may adversely affect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July 3, 2026, we held 69 issued U.S. patents and 7 issued foreign patents, and had 39 patent applications pending. Although we attempt to protect our intellectual property rights through patents, trademarks, copyrights, licensing arrangements, maintaining certain technology as trade secrets and other measures, we can give no assurances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scope of the claims sought by us, if at all. We can give no assurances that others will not develop technologies that are similar or superior to our technologies, duplicate our technologies or design around the patents that we own. In addition, effective patent, copyright and trade secret protection may be unavailable or limited in certain foreign countries in which we do business or may do business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enter into confidentiality or license agreements with our employees, consultants, and vendors and our customers, as needed, and generally limit access to, and distribution of, our proprietary information. Nevertheless, we cannot provide assurances that the steps taken by us will prevent misappropriation of our technology. In addition, we have taken in the past, and may take in the future,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management time and other resources, and could materially and adversely affect our business,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use of open source software in some of our products may expose us to certain risks.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Some of our products contain software modules licensed for use from third-party authors under open source licenses.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in less time and ultimately could result in a loss of product sales for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Although we monitor our use of open source closely, it is possible our past, present or future use of open source has triggered or may trigger the foregoing requirements. Furthermore, the terms of many open source licenses have not been interpreted by U.S. courts, and there is a risk that such licenses could be construed in a manner that could impose unanticipated conditions or restrictions on our ability to commercialize our products. In such event, we could be required to seek licenses from third parties in order to continue offering our products, to re-engineer our products or to discontinue the sale of our products in the event re-engineering cannot be accomplished on a timely basis, any of which could materially and adversely affect our operating results, financial condition and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import and export control and trade and economic sanction laws and regulations that could subject us to liability or impair our ability to compete in international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products are subject to U.S. export control laws and may be exported outside the United States only with the required export license or through an export license exception, in most cases because we incorporate encryption technology into certain of our products. We are also subject to U.S. trade and economic sanction regulations which include prohibitions on the sale or supply of certain products and services to the embargoed or sanctioned countries, governments, persons and entities of the United States or of countries in which we do business. In addition, various countries regulate the import of certain technology and have enacted laws that could limit our ability to distribute our products, or could limit our customers’ ability to implement our products, in those countries. Although we take precautions and have processes in place to prevent our products and services from being provided in violation of such laws, our products have been in the past, and could in the future be, provided inadvertently in violation of such laws, despite the precautions we take.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found to have violated U.S. export control or sanctions laws or regulations, we and certain of our employees could be subject to civil or criminal penalties, including the possible loss of export privileges, monetary penalties, and, in extreme cases, imprisonment of responsible employees for knowing and willful violations of these laws which could lead to penalties, reputational harm, loss of access to certain markets,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as discussed in more detail above, we may be affected by heightened or new tariffs that could have a significant adverse impact on our operating results or, if we are able to pass on the related costs in any particular situation, would increase the cost of the related product to our customers. As a result, the future imposition of significant increases in the level of tariffs or the creation of import quotas on our products, or any of the limitations on international sales described above, could have a material adverse effect on our business, operating results, financial condition and cash flows. Further, some of our customers in Europe have been, or are being, audited by local governmental authorities regarding the tariff classifications used for importation of our products. Import duties and tariffs vary by country and a different tariff classification for any of our products may result in higher duties or tariffs, which could have an adverse impact on our operating results and potentially increase the cost of the related products to our customers.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and industry are subject to various laws and regulations that could adversely affect our business, operating results, cash flows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and industry are regulated under various federal, state, local and international laws. For example, we are subject to environmental regulations such as the European Union’s Waste Electrical and Electronic Equipment and Restriction on the Use of Certain Hazardous Substances in Electrical and Electronic Equipment directives and similar legislation enacted in other jurisdictions worldwide. Our failure to comply with these laws could result in our being directly or indirectly liable for costs, fines or penalties and third-party claims, and could jeopardize our ability to conduct business in such regions and countries. We expect that our operations will be affected by other new environmental laws and regulations on an ongoing basis. Although we cannot predict the ultimate impact of any such new laws and regulations, they would likely result in additional costs and could require that we redesign or change how we manufacture our products, any of which could have a material and adverse effect on our operating results, financial condition and cash flows.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the Sarbanes-Oxley Act of 2002 which, among other things, requires an annual review and evaluation of our internal control over financial reporting. If we conclude in future periods that our internal control over financial reporting is not effective or if our independent registered public accounting firm is unable to provide an unqualified attestation as of future year-ends, we may incur substantial additional costs in an effort to correct such problems, and investors may lose confidence in our financial statements, and our stock price may decrease in the short term, until we correct such problems, and perhaps in the long term, as well.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subject to requirements under the Dodd-Frank Wall Street Reform and Consumer Protection Act of 2010 that require us to conduct research, disclose, and report whether or not our products contain certain conflict minerals sourced from the Democratic Republic of Congo or its surrounding countries. The implementation of these requirements could adversely affect the sourcing, availability, and pricing of the materials used in the manufacture of components used in our products. In addition, we may incur certain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 It is also possible that we may face reputational harm if we determine that certain of our products contain minerals not determined to be conflict-free and/or we are unable to alter our products, processes or sources of supply to avoid such materials.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telecommunications legislation and regulations in the United States and other countries could affect our sales and the revenue we are able to derive from our products. In particular, 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In others, the laws may be nascent or non-existent. Furthermore, favorable laws may change, including for example, in the United States where net neutrality regulations were repealed. We cannot predict whether such laws and regulations will be modified, overturned, or vacated. The repeal of the net neutrality rules or other regulations dealing with access by competitors to the networks of incumbent operators could slow or stop infrastructure and services investments or expansion by service providers. Increased regulation of our customers’ pricing or service offerings could limit their investments and, consequently, revenue from our products. The impact of new or revised legislation or regulations could have a material adverse effect on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also subject to laws and regulations relating to privacy, data protection, cyber security, and the collection, use, transfer, and other processing of data. These laws and regulations are subject to frequent modifications and updates and require ongoing supervision. For example, the European Union adopted a General Data Protection Regulation that became effective in May 2018, and has established new, and in some cases more stringent, requirements for data protection in Europe, and which provides for substantial penalties for noncompliance. Additionally, California has the California Consumer Privacy Act (“CCPA”), which went into effect on January 1, 2020. In November 2020, California passed the California Privacy Rights Act (“CPRA”), which went into effect on January 1, 2023. The CPRA amends and augments the CCPA including by expanding individuals’ rights and the obligations of businesses that handle personal data. Other legislation relating to these matters, in many cases general legislation similar to the CCPA, has been proposed or adopted in several other states. Aspects of the CCPA, CPRA and these other laws and regulations, as well as their enforcement, remain unclear. The U.S. federal government also is contemplating federal privacy legislation and has adopted regulations regarding certain bulk sensitive personal data transfers.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a number of legislative proposals in the United States, at both the federal and state level, and in the European Union and more globally, that could impose new obligations in areas such privacy, data protection, cybersecurity, and data processing. We cannot yet determine the impact that future laws, regulations, and standards may have on our business. For example, the European Union’s Data Act (“Data Act”) became fully applicable on September 12, 2025. Among other things, the Data Act imposes obligations relating to companies’ ability to terminate service agreements.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effects and impact of these enacted and proposed laws and regulations relating to privacy, data protection, cybersecurity, and the collection, use, transfer, and other processing of data are potentially significant and may require us to modify our data processing and cybersecurity practices and policies and to incur substantial costs and expenses in efforts to comply. Laws and regulations relating to these matters continue to evolve in various jurisdictions, with existing laws and regulations subject to new and differing interpretations and new laws and regulations being proposed and adopted. It is possible that our practices may be deemed not to comply with legal requirements relating to these matters that apply, or are asserted to apply, to us now or in the future. Our failure or perceived failure to comply with any of the foregoing legal and regulatory requirements, or other actual or asserted obligations relating to privacy, data protection, cybersecurity, or the collection, use, transfer, or other processing of data could result in increased costs for our products, monetary penalties, damage to our reputation, government inquiries, investigations and other legal proceeds, legal claims, demands and litigation and other obligations and liabilities.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depend significantly on our international revenue and are subject to the risks associated with international operations, including those of our contract manufacturers and outsourcing partners, which may negatively affect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derived from customers outside of the United States represented approximately 17% and 23% of our revenue for the six months ended July 3, 2026, and June 27, 2025, respectively. Although no assurance can be given with respect to international sales growth in any one or more regions, we expect that international revenue will likely continue to represent, from year to year, a portion of our revenue, and potentially increasing, percentage of our annual revenue for the foreseeable future. Furthermore, the majority of our employees are based in our international offices and locations, and most of our contract manufacturing occurs outside of the United States. In addition, we outsource a portion of our research and development activities to certain third-party partners with development centers located in different countries, particularly Ukraine.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international operations, international operations of our contract manufacturers and outsourcing partners, and our efforts to maintain and increase revenue in international markets are subject to a number of risks, which are generally greater with respect to emerging market countries,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growth and stability of the economy in one or more international regions, including regional economic impacts of the Middle East and Russia-Ukraine conflicts and potential escalations and broader regional conflicts, and tensions between China and Taiwan and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ability of certain non-U.S. customers to timely make payments in U.S. dollar due to local government currency controls;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foreign government regulations and telco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import and export license requirements, tariffs and trade policies, taxes, economic sanctions, contractual limitations and other trade barriers;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availability of credit,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longer collection periods and greater difficulty in enforcing contracts and collecting accounts receivable, especially from smaller customers and resellers, particularly in emerging market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compliance with the Foreign Corrupt Practices Act ("FCPA"), the U.K. Bribery Act and/or similar anti-corruption and anti-bribery laws,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burden of complying with a wide variety of foreign laws, regulations, treaties and technical standards;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fulfilling “country of origin” requirements for our products for certain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business and operational disruptions or delays caused by political, social and/or economic instability and unrest (e.g., Ukraine and Israel), including risks related to terrorist activity, particularly in emerging market countries;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economic policies by foreign governments, including the imposition and potential continued expansion of economic sanctions by the United States and the European Union on the Russian Federation;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diplomatic and trade relationships, including the imposition of new trade restrictions, trade protection measures, import or export requirements, trade embargoes and other trade barriers, including those between the United States and China;</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negative economic impacts resulting from the political environment in the United States or the United Kingdoms’ exit from the European Union;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business and economic disruptions and delays caused by outbreaks of disease, epidemics and potential pandemics.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certain international customers who are billed in their local currency, primarily the Euro, which subjects us to foreign currency risk. In addition, a portion of our operating expenses relating to the cost of certain international employees, are denominated in foreign currencies, primarily the Israeli shekel, Euro, and Indian rupee. Gains and losses on the conversion to U.S. dollars of accounts receivable, accounts payable and other monetary assets and liabilities arising from international operations may contribute to fluctuations in our operating results. Furthermore, payment cycles for international customers are typically longer than those for customers in the United States. Unpredictable payment cycles could cause us to fail to meet or exceed the expectations of security analysts and investors for any given period.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Most of our international revenue is denominated in U.S. dollars, and fluctuations in currency exchange rates could cause our products to become relatively more expensive to customers in a particular country or region, leading to a reduction in revenue or profitability from sales in that country or region. The potential negative impact of a strong U.S. dollar on our business may be exacerbated by the significant devaluation of a number of foreign currencies. Also, if the U.S. dollar were to weaken against many foreign currencies, there can be no assurance that a weaker dollar would lead to growth in customer spending in foreign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operations outside the United States also require us to comply with a number of U.S. and international regulations that prohibit improper payments or offers of payments to foreign governments and their officials and political parties for corrupt purposes. For example, our operations in countries outside the United States are subject to the FCPA and similar laws, including the U.K. Bribery Act. Our activities in certain emerging countries create the risk of unauthorized payments or offers of payments by one of our employees, consultants, sales agents or channel partners that could be in violation of various anti-corruption laws, even though these parties may not be under our control. Under the FCPA and U.K. Bribery Act, companies may be held liable for the corrupt actions taken by their directors, officers, employees, channel partners, sales agents, consultants, or other strategic or local partners or representatives. We have internal control policies and procedures with respect to FCPA compliance, have implemented FCPA training and compliance programs for our employees, and include in our agreements with resellers a requirement that those parties comply with the FCPA. However, we cannot provide assurances that our policies, procedures and programs will prevent violations of the FCPA or similar laws by our employees or agents, particularly in emerging market countries, and as we expand our international operations. Any such violation, even if prohibited by our policies, could result in criminal or civil sanctions against us.</w:t>
      </w:r>
    </w:p>
    <w:p>
      <w:pPr>
        <w:pStyle w:val="TextBody"/>
        <w:bidi w:val="0"/>
        <w:spacing w:before="160" w:after="360"/>
        <w:jc w:val="left"/>
        <w:rPr>
          <w:rFonts w:ascii="Times New Roman" w:hAnsi="Times New Roman"/>
          <w:color w:val="000000"/>
          <w:sz w:val="20"/>
        </w:rPr>
      </w:pPr>
      <w:r>
        <w:rPr>
          <w:rFonts w:ascii="Times New Roman" w:hAnsi="Times New Roman"/>
          <w:color w:val="000000"/>
          <w:sz w:val="20"/>
        </w:rPr>
        <w:t>The effect of one or more of these international risks could have a material and adverse effect on our business, financial condition, operating results and cash flows.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Some anti-takeover provisions contained in our certificate of incorporation and bylaws, as well as provisions of Delaware law, could impair a takeover attempt.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provisions in our certificate of incorporation and bylaws that could have the effect of rendering more difficult or discouraging an acquisition deemed undesirable by our Board. These include provisions: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authorizing blank check preferred stock, which could be issued with voting, liquidation, dividend and other rights superior to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limiting the liability of, and providing indemnification to, our directors and officers;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limiting the ability of our stockholders to call, and bring business before, special meetings;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requiring advance notice of stockholder proposals for business to be conducted at meetings of our stockholders and for nominations of candidates for election to our Board;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controlling the procedures for conducting and scheduling of Board and stockholder meetings;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providing our Board with the express power to postpone previously scheduled annual meetings and to cancel previously scheduled special meetings.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provisions could delay hostile takeovers, changes in control of the Company or changes in our management. 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common stock price may be extremely volatile, and the value of an investment in our stock may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price has been highly volatile. We expect that this volatility will continue in the future due to factors such as: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general market and economic conditions, including inflation, interest rates, volatile capital markets, uncertainty and volatility in the financial services sector, the Middle East and Russia-Ukraine conflicts and potential escalations and broader regional conflicts, and rising tensions between China and Taiwan and the United States;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actual or anticipated variations in operating results;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increases or decreases in the general stock market or to the stock prices of technology companies;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of technological innovations, new products or new services by us or by our competitors or customers;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financial estimates or recommendations by stock market analysts regarding us or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dispositions, strategic partnerships, joint ventures or capital commitments;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announcements by our customers regarding end user market conditions and the status of existing and future infrastructure network deployments;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additions or departures of key personnel;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future equity or debt offerings or our announcements of these offerings.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in recent years, the stock market in general, and The Nasdaq Global Select Market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these circumstances, investors may be unable to sell their shares of our common stock at or above their purchase price over the short term, or at all.</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cannot guarantee that our stock repurchase program will be fully implemented or that it will enhance long-term stockholder value.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February 2025, our Board of Directors terminated our existing $100 million stock repurchase program and approved a new stock repurchase program for the repurchase of up to $200 million of the outstanding shares of common stock. The repurchase program expires in February 2028, and we are not obligated to repurchase a specified number or dollar value of shares. Share repurchases will be made from time to time in open market purchases and 10b5-1 trading plans, as permitted by securities laws and other legal requirements. Any share repurchases remain subject to the circumstances in place at that time, including prevailing market prices. As a result, there can be no guarantee around the timing or volume of our share repurchases. The stock repurchase program could affect the price of our common stock, increase volatility and diminish our cash reserves. Our repurchase program may be suspended or terminated at any time and, even if fully implemented, may not enhance long-term stockholder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stock price may decline if additional shares are sold in the market or if analysts drop coverage of or downgrade our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Future sales of substantial amounts of shares of our common stock by our existing stockholders in the public market, or the perception that these sales could occur, may cause the market price of our common stock to decline. In addition, we issue additional shares upon exercise of stock options, including under our 2002 ESPP, and in connection with grants of restricted stock units on an ongoing basis. Increased sales of our common stock in the market after exercise of outstanding stock options or grants of restricted stock units could exert downward pressure on our stock price. These sales also might make it more difficult for us to sell equity or equity-related securities in the future at a time and price we deem appropriate.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trading market for our common stock relies in part on the availability of research and reports that third-party industry or securities analysts publish about us and our business. If we do not maintain adequate research coverage or if one or more of the analysts who do cover us downgrade our stock or publishes inaccurate or unfavorable research about our business, our stock price may decline. If one or more of these analysts cease coverage of us or fails to publish reports on us regularly, we could lose visibility in the market, which in turn could cause the liquidity of our stock and our stock price to decline.</w:t>
      </w:r>
    </w:p>
    <w:p>
      <w:pPr>
        <w:pStyle w:val="TextBody"/>
        <w:bidi w:val="0"/>
        <w:spacing w:before="360" w:after="283"/>
        <w:jc w:val="left"/>
        <w:rPr>
          <w:rFonts w:ascii="Times New Roman" w:hAnsi="Times New Roman"/>
          <w:sz w:val="20"/>
        </w:rPr>
      </w:pPr>
      <w:bookmarkStart w:id="41" w:name="item_2_unregistered_sales_of_equity_secu"/>
      <w:bookmarkEnd w:id="4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Company is authorized to repurchase, from time to 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As of July 3, 2026, approximately $78.0 million of the share repurchase authorization remained available.</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There were no repurchases during the three months ended July 3, 2026.</w:t>
      </w:r>
    </w:p>
    <w:p>
      <w:pPr>
        <w:pStyle w:val="TextBody"/>
        <w:bidi w:val="0"/>
        <w:spacing w:before="40" w:after="240"/>
        <w:jc w:val="left"/>
        <w:rPr>
          <w:rFonts w:ascii="Times New Roman" w:hAnsi="Times New Roman"/>
          <w:color w:val="000000"/>
          <w:sz w:val="20"/>
        </w:rPr>
      </w:pPr>
      <w:r>
        <w:rPr>
          <w:rFonts w:ascii="Times New Roman" w:hAnsi="Times New Roman"/>
          <w:color w:val="000000"/>
          <w:sz w:val="20"/>
        </w:rPr>
        <w:t>During the quarter ended July 3, 2026, we paid approximately $2.1 million in employee withholding taxes due upon the vesting of net settled equity awards. We withheld approximately 152,982 shares of common stock from employees in connection with such net share settlement at an average price of $13.65 per share. These shares may be deemed to be “issuer purchases” of shares.</w:t>
      </w:r>
    </w:p>
    <w:p>
      <w:pPr>
        <w:pStyle w:val="TextBody"/>
        <w:bidi w:val="0"/>
        <w:spacing w:before="120" w:after="283"/>
        <w:jc w:val="left"/>
        <w:rPr>
          <w:rFonts w:ascii="Times New Roman" w:hAnsi="Times New Roman"/>
          <w:b/>
          <w:color w:val="000000"/>
          <w:sz w:val="20"/>
        </w:rPr>
      </w:pPr>
      <w:bookmarkStart w:id="42" w:name="item_5_other_information"/>
      <w:bookmarkEnd w:id="42"/>
      <w:r>
        <w:rPr>
          <w:rFonts w:ascii="Times New Roman" w:hAnsi="Times New Roman"/>
          <w:b/>
          <w:color w:val="000000"/>
          <w:sz w:val="20"/>
        </w:rPr>
        <w:t>ITEM 5. OTHER INFORMATION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three months ended July 3,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43" w:name="item_6_exhibits"/>
      <w:bookmarkEnd w:id="43"/>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Index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March 20, 2026, by and between Harmonic Inc. and Leone Media Inc.*</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1_1.htm">
              <w:r>
                <w:rPr>
                  <w:rStyle w:val="InternetLink"/>
                  <w:rFonts w:ascii="Times New Roman" w:hAnsi="Times New Roman"/>
                  <w:color w:val="0000FF"/>
                  <w:sz w:val="20"/>
                  <w:u w:val="single"/>
                </w:rPr>
                <w:t>Section 302 Certification of Principal Executive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1_2.htm">
              <w:r>
                <w:rPr>
                  <w:rStyle w:val="InternetLink"/>
                  <w:rFonts w:ascii="Times New Roman" w:hAnsi="Times New Roman"/>
                  <w:color w:val="0000FF"/>
                  <w:sz w:val="20"/>
                  <w:u w:val="single"/>
                </w:rPr>
                <w:t>Section 302 Certification of Principal Financial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2_1.htm">
              <w:r>
                <w:rPr>
                  <w:rStyle w:val="InternetLink"/>
                  <w:rFonts w:ascii="Times New Roman" w:hAnsi="Times New Roman"/>
                  <w:color w:val="0000FF"/>
                  <w:sz w:val="20"/>
                  <w:u w:val="single"/>
                </w:rPr>
                <w:t>Section 906 Certification of Principal Executive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2_2.htm">
              <w:r>
                <w:rPr>
                  <w:rStyle w:val="InternetLink"/>
                  <w:rFonts w:ascii="Times New Roman" w:hAnsi="Times New Roman"/>
                  <w:color w:val="0000FF"/>
                  <w:sz w:val="20"/>
                  <w:u w:val="single"/>
                </w:rPr>
                <w:t>Section 906 Certification of Principal Financial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following materials from Registrant’s Quarterly Report on Form 10-Q for the quarter ended July 3, 2026, formatted in Inline Extensible Business Reporting Language (iXBRL) include: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Condensed Consolidated Balance Sheets at July 3, 2026 and December 31, 2025, (ii) Condensed Consolidated Statements of Operations for the three and six months ended July 3, 2026 and June 27, 2025, (iii) Condensed Consolidated Statements of Comprehensive Income (Loss) for the three and six months ended July 3, 2026 and June 27, 2025 (iv) Condensed Consolidated Statements of Stockholders’ Equity for the three and six months ended July 3, 2026 and June 27, 2025, (v) Condensed Consolidated Statements of Cash Flows for the six months ended July 3, 2026 and June 27, 2025, and (vi) Notes to Condensed Consolidated Financial Statements.</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*Schedules and certain exhibits have been omitted pursuant to Item 601(b)(2) of Regulation S-K. The Company hereby undertakes to furnish supplementally copies of any of the omitted schedules and exhibits upon request by the U.S.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certifications attached as Exhibits 32.1 and 32.2 that accompany this Quarterly Report on Form 10-Q, are deemed furnished and not filed with the Securities and Exchange Commission and are not to be incorporated by reference into any filing of Harmonic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br/>
        <w:t>(i) Previously filed as an exhibit to the Company’s Current Report on Form 8-K dated March 23,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4" w:name="signatures"/>
      <w:bookmarkEnd w:id="4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421"/>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HARMONIC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17,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hlit-ex31_1.htm"/>
      <w:bookmarkStart w:id="46" w:name="kshlitex31_1"/>
      <w:bookmarkEnd w:id="45"/>
      <w:bookmarkEnd w:id="4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17, 2026</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hlit-ex31_2.htm"/>
      <w:bookmarkStart w:id="48" w:name="kshlitex31_2"/>
      <w:bookmarkEnd w:id="47"/>
      <w:bookmarkEnd w:id="48"/>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17, 2026</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hlit-ex32_1.htm"/>
      <w:bookmarkStart w:id="50" w:name="kshlitex32_1"/>
      <w:bookmarkEnd w:id="49"/>
      <w:bookmarkEnd w:id="5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President and Chief Executive Officer of Harmonic Inc., certify, pursuant to 18 U.S.C. Section 1350, as adopted pursuant to Section 906 of the Sarbanes-Oxley Act of 2002, that the Quarterly Report on Form 10-Q of Harmonic Inc. for the fiscal quarter ended July 3, 2026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17, 2026</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3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hlit-ex32_2.htm"/>
      <w:bookmarkStart w:id="52" w:name="kshlitex32_2"/>
      <w:bookmarkEnd w:id="51"/>
      <w:bookmarkEnd w:id="52"/>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Chief Financial Officer of Harmonic Inc., certify, pursuant to 18 U.S.C. Section 1350, as adopted pursuant to Section 906 of the Sarbanes-Oxley Act of 2002, that the Quarterly Report on Form 10-Q of Harmonic Inc. for the fiscal quarter ended July 3, 2026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17, 2026</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20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51310/000119312526119977/hlit-ex2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29291</Words>
  <Characters>162120</Characters>
  <CharactersWithSpaces>191037</CharactersWithSpaces>
  <Paragraphs>4915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